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285E94" w:rsidRDefault="00285E94"/>
    <w:p w14:paraId="09F390B7" w14:textId="77777777" w:rsidR="00E66C06" w:rsidRDefault="00E66C06">
      <w:pPr>
        <w:rPr>
          <w:b/>
          <w:bCs/>
          <w:sz w:val="72"/>
          <w:szCs w:val="72"/>
        </w:rPr>
      </w:pPr>
    </w:p>
    <w:p w14:paraId="655ACEDA" w14:textId="6003780C" w:rsidR="002905E2" w:rsidRPr="002905E2" w:rsidRDefault="002905E2">
      <w:pPr>
        <w:rPr>
          <w:b/>
          <w:bCs/>
          <w:sz w:val="72"/>
          <w:szCs w:val="72"/>
        </w:rPr>
      </w:pPr>
      <w:r w:rsidRPr="0769AEDF">
        <w:rPr>
          <w:b/>
          <w:bCs/>
          <w:sz w:val="72"/>
          <w:szCs w:val="72"/>
        </w:rPr>
        <w:t>Tariff Interoperability Arrangements Consultation</w:t>
      </w:r>
    </w:p>
    <w:p w14:paraId="296D000B" w14:textId="7EADEBF9" w:rsidR="00FB4E5D" w:rsidRPr="005B62D4" w:rsidRDefault="002905E2">
      <w:pPr>
        <w:rPr>
          <w:b/>
          <w:bCs/>
          <w:sz w:val="48"/>
          <w:szCs w:val="48"/>
        </w:rPr>
      </w:pPr>
      <w:r w:rsidRPr="005B62D4">
        <w:rPr>
          <w:b/>
          <w:bCs/>
          <w:sz w:val="48"/>
          <w:szCs w:val="48"/>
        </w:rPr>
        <w:t>Proforma Response Document</w:t>
      </w:r>
    </w:p>
    <w:p w14:paraId="396F0583" w14:textId="3E6598C3" w:rsidR="002905E2" w:rsidRPr="005B62D4" w:rsidRDefault="49D8B977" w:rsidP="4C392457">
      <w:pPr>
        <w:rPr>
          <w:i/>
          <w:iCs/>
          <w:sz w:val="44"/>
          <w:szCs w:val="44"/>
        </w:rPr>
      </w:pPr>
      <w:r w:rsidRPr="4C392457">
        <w:rPr>
          <w:i/>
          <w:iCs/>
          <w:sz w:val="44"/>
          <w:szCs w:val="44"/>
        </w:rPr>
        <w:t xml:space="preserve">Consultation closure date: </w:t>
      </w:r>
      <w:r w:rsidR="7760B2BA" w:rsidRPr="4C392457">
        <w:rPr>
          <w:sz w:val="44"/>
          <w:szCs w:val="44"/>
        </w:rPr>
        <w:t>Tues</w:t>
      </w:r>
      <w:r w:rsidRPr="4C392457">
        <w:rPr>
          <w:sz w:val="44"/>
          <w:szCs w:val="44"/>
        </w:rPr>
        <w:t xml:space="preserve">day </w:t>
      </w:r>
      <w:r w:rsidR="4492149C" w:rsidRPr="4C392457">
        <w:rPr>
          <w:sz w:val="44"/>
          <w:szCs w:val="44"/>
        </w:rPr>
        <w:t>20</w:t>
      </w:r>
      <w:r w:rsidRPr="4C392457">
        <w:rPr>
          <w:sz w:val="44"/>
          <w:szCs w:val="44"/>
        </w:rPr>
        <w:t xml:space="preserve"> January 2026</w:t>
      </w:r>
      <w:r w:rsidR="00FB4E5D" w:rsidRPr="4C392457">
        <w:rPr>
          <w:i/>
          <w:iCs/>
          <w:sz w:val="44"/>
          <w:szCs w:val="44"/>
        </w:rPr>
        <w:br w:type="page"/>
      </w:r>
    </w:p>
    <w:p w14:paraId="192D8290" w14:textId="77777777" w:rsidR="00DE16EC" w:rsidRDefault="00DE16EC" w:rsidP="00DE16EC">
      <w:pPr>
        <w:spacing w:before="20" w:after="20" w:line="278" w:lineRule="auto"/>
        <w:rPr>
          <w:b/>
          <w:bCs/>
          <w:sz w:val="40"/>
          <w:szCs w:val="40"/>
        </w:rPr>
      </w:pPr>
    </w:p>
    <w:p w14:paraId="07AB6637" w14:textId="14A5013F" w:rsidR="002905E2" w:rsidRPr="002905E2" w:rsidRDefault="002905E2" w:rsidP="00DE16EC">
      <w:pPr>
        <w:spacing w:before="20" w:after="20" w:line="278" w:lineRule="auto"/>
        <w:rPr>
          <w:b/>
          <w:bCs/>
          <w:sz w:val="40"/>
          <w:szCs w:val="40"/>
        </w:rPr>
      </w:pPr>
      <w:r w:rsidRPr="002905E2">
        <w:rPr>
          <w:b/>
          <w:bCs/>
          <w:sz w:val="40"/>
          <w:szCs w:val="40"/>
        </w:rPr>
        <w:t>Overview</w:t>
      </w:r>
    </w:p>
    <w:p w14:paraId="11DADE08" w14:textId="11C393BE" w:rsidR="002905E2" w:rsidRPr="002905E2" w:rsidRDefault="002905E2" w:rsidP="00DE16EC">
      <w:pPr>
        <w:spacing w:before="20" w:after="20" w:line="278" w:lineRule="auto"/>
        <w:rPr>
          <w:sz w:val="28"/>
          <w:szCs w:val="28"/>
        </w:rPr>
      </w:pPr>
      <w:r w:rsidRPr="002905E2">
        <w:rPr>
          <w:sz w:val="28"/>
          <w:szCs w:val="28"/>
        </w:rPr>
        <w:t xml:space="preserve">This is the proforma response document for the consultation on proposals for the Tariff Interoperability (TI) Arrangements that will introduce an obligation on Electricity Suppliers to make pricing data available in a standardised format. </w:t>
      </w:r>
    </w:p>
    <w:p w14:paraId="14848E09" w14:textId="5072D93A" w:rsidR="002905E2" w:rsidRPr="002905E2" w:rsidRDefault="7AF905B6" w:rsidP="00DE16EC">
      <w:pPr>
        <w:spacing w:before="20" w:after="20" w:line="278" w:lineRule="auto"/>
        <w:rPr>
          <w:sz w:val="28"/>
          <w:szCs w:val="28"/>
        </w:rPr>
      </w:pPr>
      <w:r w:rsidRPr="32A66B1B">
        <w:rPr>
          <w:sz w:val="28"/>
          <w:szCs w:val="28"/>
        </w:rPr>
        <w:t>This is an important government-led initiative which will make it easier for electricity customers to participate in consumer-led flexibility by automating how Energy Smart Appliances (ESAs) connect to price signals. This will enable consumers to save money on their electricity bills while also contributing to making Great Britain a clean energy superpower.</w:t>
      </w:r>
    </w:p>
    <w:p w14:paraId="764CB0DB" w14:textId="1F84FA91" w:rsidR="32A66B1B" w:rsidRDefault="32A66B1B" w:rsidP="32A66B1B">
      <w:pPr>
        <w:spacing w:before="20" w:after="20" w:line="278" w:lineRule="auto"/>
        <w:rPr>
          <w:sz w:val="28"/>
          <w:szCs w:val="28"/>
        </w:rPr>
      </w:pPr>
    </w:p>
    <w:p w14:paraId="6CADB0A3" w14:textId="3C499A6E" w:rsidR="002905E2" w:rsidRDefault="002905E2" w:rsidP="00DE16EC">
      <w:pPr>
        <w:spacing w:before="20" w:after="20" w:line="278" w:lineRule="auto"/>
        <w:rPr>
          <w:sz w:val="28"/>
          <w:szCs w:val="28"/>
        </w:rPr>
      </w:pPr>
      <w:r w:rsidRPr="5B39E3C2">
        <w:rPr>
          <w:sz w:val="28"/>
          <w:szCs w:val="28"/>
        </w:rPr>
        <w:t>This consultation is led by the Department for Energy Security and Net Zero (DESNZ) in collaboration with the Retail Energy Code Company (RECCo). Proposals for TI have been developed as part of the Smart Secure Electricity Systems (SSES) Programme. We are requesting views from industry and interested stakeholders on the design and implementation of the TI Arrangements.</w:t>
      </w:r>
    </w:p>
    <w:p w14:paraId="41211784" w14:textId="3611C66C" w:rsidR="00DE16EC" w:rsidRDefault="00DE16EC" w:rsidP="5B39E3C2">
      <w:pPr>
        <w:spacing w:before="20" w:after="20" w:line="278" w:lineRule="auto"/>
        <w:rPr>
          <w:sz w:val="28"/>
          <w:szCs w:val="28"/>
        </w:rPr>
      </w:pPr>
    </w:p>
    <w:p w14:paraId="33C604BA" w14:textId="6B205C62" w:rsidR="00DE16EC" w:rsidRDefault="55E1A595" w:rsidP="5B39E3C2">
      <w:pPr>
        <w:spacing w:before="20" w:after="20" w:line="278" w:lineRule="auto"/>
        <w:rPr>
          <w:sz w:val="28"/>
          <w:szCs w:val="28"/>
        </w:rPr>
      </w:pPr>
      <w:r w:rsidRPr="5B39E3C2">
        <w:rPr>
          <w:sz w:val="28"/>
          <w:szCs w:val="28"/>
        </w:rPr>
        <w:t>As DESNZ are leading this consultation in collaboration with RECCo please note all that responses will be shared between the two organisations.</w:t>
      </w:r>
    </w:p>
    <w:p w14:paraId="07034EE5" w14:textId="622AFD91" w:rsidR="5B39E3C2" w:rsidRDefault="5B39E3C2" w:rsidP="5B39E3C2">
      <w:pPr>
        <w:spacing w:before="20" w:after="20" w:line="278" w:lineRule="auto"/>
        <w:rPr>
          <w:sz w:val="28"/>
          <w:szCs w:val="28"/>
        </w:rPr>
      </w:pPr>
    </w:p>
    <w:p w14:paraId="194FBA19" w14:textId="048BB67C" w:rsidR="002905E2" w:rsidRPr="002905E2" w:rsidRDefault="002905E2" w:rsidP="00DE16EC">
      <w:pPr>
        <w:spacing w:before="20" w:after="20" w:line="278" w:lineRule="auto"/>
        <w:rPr>
          <w:b/>
          <w:bCs/>
          <w:sz w:val="40"/>
          <w:szCs w:val="40"/>
        </w:rPr>
      </w:pPr>
      <w:r w:rsidRPr="002905E2">
        <w:rPr>
          <w:b/>
          <w:bCs/>
          <w:sz w:val="40"/>
          <w:szCs w:val="40"/>
        </w:rPr>
        <w:t>Instructions</w:t>
      </w:r>
    </w:p>
    <w:p w14:paraId="44C707CD" w14:textId="77777777" w:rsidR="002905E2" w:rsidRPr="002905E2" w:rsidRDefault="002905E2" w:rsidP="00DE16EC">
      <w:pPr>
        <w:spacing w:before="20" w:after="20" w:line="278" w:lineRule="auto"/>
        <w:rPr>
          <w:sz w:val="28"/>
          <w:szCs w:val="28"/>
        </w:rPr>
      </w:pPr>
      <w:r w:rsidRPr="002905E2">
        <w:rPr>
          <w:sz w:val="28"/>
          <w:szCs w:val="28"/>
        </w:rPr>
        <w:t>The consultation documents can be found on the REC Portal and contain the following annexes:</w:t>
      </w:r>
    </w:p>
    <w:p w14:paraId="22831BAA" w14:textId="77777777" w:rsidR="002905E2" w:rsidRPr="00DE16EC" w:rsidRDefault="002905E2" w:rsidP="00DE16EC">
      <w:pPr>
        <w:pStyle w:val="ListParagraph"/>
        <w:numPr>
          <w:ilvl w:val="0"/>
          <w:numId w:val="1"/>
        </w:numPr>
        <w:spacing w:before="20" w:after="20" w:line="278" w:lineRule="auto"/>
        <w:rPr>
          <w:sz w:val="28"/>
          <w:szCs w:val="28"/>
        </w:rPr>
      </w:pPr>
      <w:r w:rsidRPr="00DE16EC">
        <w:rPr>
          <w:sz w:val="28"/>
          <w:szCs w:val="28"/>
        </w:rPr>
        <w:t>Annex A: Introductory letter and list of questions</w:t>
      </w:r>
    </w:p>
    <w:p w14:paraId="1AC91A95" w14:textId="77777777" w:rsidR="002905E2" w:rsidRPr="00DE16EC" w:rsidRDefault="002905E2" w:rsidP="00DE16EC">
      <w:pPr>
        <w:pStyle w:val="ListParagraph"/>
        <w:numPr>
          <w:ilvl w:val="0"/>
          <w:numId w:val="1"/>
        </w:numPr>
        <w:spacing w:before="20" w:after="20" w:line="278" w:lineRule="auto"/>
        <w:rPr>
          <w:sz w:val="28"/>
          <w:szCs w:val="28"/>
        </w:rPr>
      </w:pPr>
      <w:r w:rsidRPr="00DE16EC">
        <w:rPr>
          <w:sz w:val="28"/>
          <w:szCs w:val="28"/>
        </w:rPr>
        <w:t>Annex B: The Policy Overview of TI</w:t>
      </w:r>
    </w:p>
    <w:p w14:paraId="300D8718" w14:textId="77777777" w:rsidR="002905E2" w:rsidRPr="00DE16EC" w:rsidRDefault="002905E2" w:rsidP="00DE16EC">
      <w:pPr>
        <w:pStyle w:val="ListParagraph"/>
        <w:numPr>
          <w:ilvl w:val="0"/>
          <w:numId w:val="1"/>
        </w:numPr>
        <w:spacing w:before="20" w:after="20" w:line="278" w:lineRule="auto"/>
        <w:rPr>
          <w:sz w:val="28"/>
          <w:szCs w:val="28"/>
        </w:rPr>
      </w:pPr>
      <w:r w:rsidRPr="00DE16EC">
        <w:rPr>
          <w:sz w:val="28"/>
          <w:szCs w:val="28"/>
        </w:rPr>
        <w:t>Annex C: Draft Electricity Supply Standard Licence Condition Changes</w:t>
      </w:r>
    </w:p>
    <w:p w14:paraId="120469B4" w14:textId="77777777" w:rsidR="002905E2" w:rsidRPr="00DE16EC" w:rsidRDefault="002905E2" w:rsidP="00DE16EC">
      <w:pPr>
        <w:pStyle w:val="ListParagraph"/>
        <w:numPr>
          <w:ilvl w:val="0"/>
          <w:numId w:val="1"/>
        </w:numPr>
        <w:spacing w:before="20" w:after="20" w:line="278" w:lineRule="auto"/>
        <w:rPr>
          <w:sz w:val="28"/>
          <w:szCs w:val="28"/>
        </w:rPr>
      </w:pPr>
      <w:r w:rsidRPr="00DE16EC">
        <w:rPr>
          <w:sz w:val="28"/>
          <w:szCs w:val="28"/>
        </w:rPr>
        <w:t>Annex D: Draft REC Tariff Interoperability Arrangements Schedule</w:t>
      </w:r>
    </w:p>
    <w:p w14:paraId="4E57EAE4" w14:textId="77777777" w:rsidR="002905E2" w:rsidRDefault="002905E2" w:rsidP="00DE16EC">
      <w:pPr>
        <w:pStyle w:val="ListParagraph"/>
        <w:numPr>
          <w:ilvl w:val="0"/>
          <w:numId w:val="1"/>
        </w:numPr>
        <w:spacing w:before="20" w:after="20" w:line="278" w:lineRule="auto"/>
        <w:rPr>
          <w:sz w:val="28"/>
          <w:szCs w:val="28"/>
        </w:rPr>
      </w:pPr>
      <w:r w:rsidRPr="00DE16EC">
        <w:rPr>
          <w:sz w:val="28"/>
          <w:szCs w:val="28"/>
        </w:rPr>
        <w:t>Annex E: The API Technical Specification and associated EMDS changes</w:t>
      </w:r>
    </w:p>
    <w:p w14:paraId="1DDB1821" w14:textId="77777777" w:rsidR="002905E2" w:rsidRPr="00F02017" w:rsidRDefault="002905E2" w:rsidP="00DE16EC">
      <w:pPr>
        <w:pStyle w:val="ListParagraph"/>
        <w:numPr>
          <w:ilvl w:val="0"/>
          <w:numId w:val="1"/>
        </w:numPr>
        <w:spacing w:before="20" w:after="20" w:line="278" w:lineRule="auto"/>
        <w:rPr>
          <w:sz w:val="28"/>
          <w:szCs w:val="28"/>
          <w:lang w:val="fr-FR"/>
        </w:rPr>
      </w:pPr>
      <w:r w:rsidRPr="00F02017">
        <w:rPr>
          <w:sz w:val="28"/>
          <w:szCs w:val="28"/>
          <w:lang w:val="fr-FR"/>
        </w:rPr>
        <w:t>Annex F: REC Standards Definition Document</w:t>
      </w:r>
    </w:p>
    <w:p w14:paraId="793961A8" w14:textId="77777777" w:rsidR="002905E2" w:rsidRPr="00DE16EC" w:rsidRDefault="002905E2" w:rsidP="00DE16EC">
      <w:pPr>
        <w:pStyle w:val="ListParagraph"/>
        <w:numPr>
          <w:ilvl w:val="0"/>
          <w:numId w:val="1"/>
        </w:numPr>
        <w:spacing w:before="20" w:after="20" w:line="278" w:lineRule="auto"/>
        <w:rPr>
          <w:sz w:val="28"/>
          <w:szCs w:val="28"/>
        </w:rPr>
      </w:pPr>
      <w:r w:rsidRPr="00DE16EC">
        <w:rPr>
          <w:sz w:val="28"/>
          <w:szCs w:val="28"/>
        </w:rPr>
        <w:t>Annex G: Implementation Timeline</w:t>
      </w:r>
    </w:p>
    <w:p w14:paraId="1D297E3D" w14:textId="77E79546" w:rsidR="00E66C06" w:rsidRDefault="002905E2" w:rsidP="00DE16EC">
      <w:pPr>
        <w:spacing w:before="20" w:after="20" w:line="278" w:lineRule="auto"/>
        <w:rPr>
          <w:sz w:val="28"/>
          <w:szCs w:val="28"/>
        </w:rPr>
      </w:pPr>
      <w:r w:rsidRPr="0769AEDF">
        <w:rPr>
          <w:sz w:val="28"/>
          <w:szCs w:val="28"/>
        </w:rPr>
        <w:lastRenderedPageBreak/>
        <w:t xml:space="preserve">To respond to the consultation, we request that you review the annexes in conjunction with this proforma document. Please provide your responses to the questions </w:t>
      </w:r>
      <w:r w:rsidR="00DE16EC" w:rsidRPr="0769AEDF">
        <w:rPr>
          <w:sz w:val="28"/>
          <w:szCs w:val="28"/>
        </w:rPr>
        <w:t>outlined below</w:t>
      </w:r>
      <w:r w:rsidRPr="0769AEDF">
        <w:rPr>
          <w:sz w:val="28"/>
          <w:szCs w:val="28"/>
        </w:rPr>
        <w:t>. Once complete, please email your response to</w:t>
      </w:r>
      <w:r w:rsidR="406556A7" w:rsidRPr="0769AEDF">
        <w:rPr>
          <w:sz w:val="28"/>
          <w:szCs w:val="28"/>
        </w:rPr>
        <w:t>:</w:t>
      </w:r>
      <w:r w:rsidRPr="0769AEDF">
        <w:rPr>
          <w:sz w:val="28"/>
          <w:szCs w:val="28"/>
        </w:rPr>
        <w:t xml:space="preserve"> </w:t>
      </w:r>
      <w:hyperlink r:id="rId11">
        <w:r w:rsidRPr="0769AEDF">
          <w:rPr>
            <w:rStyle w:val="Hyperlink"/>
            <w:sz w:val="28"/>
            <w:szCs w:val="28"/>
          </w:rPr>
          <w:t>SSES.Interoperability@energysecurity.gov.uk</w:t>
        </w:r>
      </w:hyperlink>
      <w:r w:rsidR="2AA9692E" w:rsidRPr="0769AEDF">
        <w:rPr>
          <w:sz w:val="28"/>
          <w:szCs w:val="28"/>
        </w:rPr>
        <w:t>,</w:t>
      </w:r>
      <w:r w:rsidRPr="0769AEDF">
        <w:rPr>
          <w:sz w:val="28"/>
          <w:szCs w:val="28"/>
        </w:rPr>
        <w:t xml:space="preserve"> and </w:t>
      </w:r>
      <w:hyperlink r:id="rId12">
        <w:r w:rsidRPr="0769AEDF">
          <w:rPr>
            <w:rStyle w:val="Hyperlink"/>
            <w:sz w:val="28"/>
            <w:szCs w:val="28"/>
          </w:rPr>
          <w:t>tariffinteroperability@retailenergycode.co.uk</w:t>
        </w:r>
      </w:hyperlink>
      <w:r w:rsidRPr="0769AEDF">
        <w:rPr>
          <w:sz w:val="28"/>
          <w:szCs w:val="28"/>
        </w:rPr>
        <w:t xml:space="preserve">. </w:t>
      </w:r>
    </w:p>
    <w:p w14:paraId="1771D6B3" w14:textId="77777777" w:rsidR="00E66C06" w:rsidRDefault="00E66C06">
      <w:pPr>
        <w:rPr>
          <w:sz w:val="28"/>
          <w:szCs w:val="28"/>
        </w:rPr>
      </w:pPr>
      <w:r>
        <w:rPr>
          <w:sz w:val="28"/>
          <w:szCs w:val="28"/>
        </w:rPr>
        <w:br w:type="page"/>
      </w:r>
    </w:p>
    <w:p w14:paraId="32381191" w14:textId="77777777" w:rsidR="00DE16EC" w:rsidRDefault="00DE16EC" w:rsidP="00DE16EC">
      <w:pPr>
        <w:spacing w:before="20" w:after="20" w:line="278" w:lineRule="auto"/>
        <w:rPr>
          <w:sz w:val="28"/>
          <w:szCs w:val="28"/>
        </w:rPr>
      </w:pPr>
    </w:p>
    <w:p w14:paraId="32D25669" w14:textId="77777777" w:rsidR="00E66C06" w:rsidRDefault="00E66C06" w:rsidP="00E66C06">
      <w:pPr>
        <w:spacing w:before="20" w:after="20" w:line="278" w:lineRule="auto"/>
        <w:rPr>
          <w:b/>
          <w:bCs/>
          <w:sz w:val="40"/>
          <w:szCs w:val="40"/>
        </w:rPr>
      </w:pPr>
    </w:p>
    <w:p w14:paraId="3063C3F4" w14:textId="7CB12481" w:rsidR="00E66C06" w:rsidRPr="002905E2" w:rsidRDefault="00E66C06" w:rsidP="00E66C06">
      <w:pPr>
        <w:spacing w:before="20" w:after="20" w:line="278" w:lineRule="auto"/>
        <w:rPr>
          <w:b/>
          <w:bCs/>
          <w:sz w:val="40"/>
          <w:szCs w:val="40"/>
        </w:rPr>
      </w:pPr>
      <w:r>
        <w:rPr>
          <w:b/>
          <w:bCs/>
          <w:sz w:val="40"/>
          <w:szCs w:val="40"/>
        </w:rPr>
        <w:t>Please complete the below information before submission</w:t>
      </w:r>
    </w:p>
    <w:p w14:paraId="2EFC3A2C" w14:textId="77777777" w:rsidR="00E66C06" w:rsidRDefault="00E66C06">
      <w:pPr>
        <w:rPr>
          <w:sz w:val="28"/>
          <w:szCs w:val="28"/>
        </w:rPr>
      </w:pPr>
    </w:p>
    <w:tbl>
      <w:tblPr>
        <w:tblStyle w:val="TableGrid"/>
        <w:tblW w:w="0" w:type="auto"/>
        <w:tblLook w:val="04A0" w:firstRow="1" w:lastRow="0" w:firstColumn="1" w:lastColumn="0" w:noHBand="0" w:noVBand="1"/>
      </w:tblPr>
      <w:tblGrid>
        <w:gridCol w:w="5382"/>
        <w:gridCol w:w="5074"/>
      </w:tblGrid>
      <w:tr w:rsidR="00E66C06" w:rsidRPr="00E66C06" w14:paraId="2A574291" w14:textId="77777777" w:rsidTr="0769AEDF">
        <w:trPr>
          <w:trHeight w:val="380"/>
        </w:trPr>
        <w:tc>
          <w:tcPr>
            <w:tcW w:w="5382" w:type="dxa"/>
            <w:noWrap/>
            <w:hideMark/>
          </w:tcPr>
          <w:p w14:paraId="09328B8A" w14:textId="77777777" w:rsidR="00E66C06" w:rsidRPr="00E66C06" w:rsidRDefault="00E66C06">
            <w:pPr>
              <w:rPr>
                <w:b/>
                <w:bCs/>
                <w:sz w:val="28"/>
                <w:szCs w:val="28"/>
              </w:rPr>
            </w:pPr>
            <w:r w:rsidRPr="00E66C06">
              <w:rPr>
                <w:b/>
                <w:bCs/>
                <w:sz w:val="28"/>
                <w:szCs w:val="28"/>
              </w:rPr>
              <w:t>Name</w:t>
            </w:r>
          </w:p>
        </w:tc>
        <w:tc>
          <w:tcPr>
            <w:tcW w:w="5074" w:type="dxa"/>
            <w:noWrap/>
            <w:hideMark/>
          </w:tcPr>
          <w:p w14:paraId="731FE9BF" w14:textId="77777777" w:rsidR="00E66C06" w:rsidRPr="00E66C06" w:rsidRDefault="00E66C06" w:rsidP="00E66C06">
            <w:pPr>
              <w:rPr>
                <w:b/>
                <w:bCs/>
                <w:sz w:val="28"/>
                <w:szCs w:val="28"/>
              </w:rPr>
            </w:pPr>
            <w:r w:rsidRPr="00E66C06">
              <w:rPr>
                <w:b/>
                <w:bCs/>
                <w:sz w:val="28"/>
                <w:szCs w:val="28"/>
              </w:rPr>
              <w:t> </w:t>
            </w:r>
          </w:p>
        </w:tc>
      </w:tr>
      <w:tr w:rsidR="00E66C06" w:rsidRPr="00E66C06" w14:paraId="1AE01514" w14:textId="77777777" w:rsidTr="0769AEDF">
        <w:trPr>
          <w:trHeight w:val="380"/>
        </w:trPr>
        <w:tc>
          <w:tcPr>
            <w:tcW w:w="5382" w:type="dxa"/>
            <w:noWrap/>
            <w:hideMark/>
          </w:tcPr>
          <w:p w14:paraId="70A18A04" w14:textId="77777777" w:rsidR="00E66C06" w:rsidRPr="00E66C06" w:rsidRDefault="00E66C06">
            <w:pPr>
              <w:rPr>
                <w:b/>
                <w:bCs/>
                <w:sz w:val="28"/>
                <w:szCs w:val="28"/>
              </w:rPr>
            </w:pPr>
            <w:r w:rsidRPr="00E66C06">
              <w:rPr>
                <w:b/>
                <w:bCs/>
                <w:sz w:val="28"/>
                <w:szCs w:val="28"/>
              </w:rPr>
              <w:t>Email Address</w:t>
            </w:r>
          </w:p>
        </w:tc>
        <w:tc>
          <w:tcPr>
            <w:tcW w:w="5074" w:type="dxa"/>
            <w:noWrap/>
            <w:hideMark/>
          </w:tcPr>
          <w:p w14:paraId="0038B764" w14:textId="77777777" w:rsidR="00E66C06" w:rsidRPr="00E66C06" w:rsidRDefault="00E66C06" w:rsidP="00E66C06">
            <w:pPr>
              <w:rPr>
                <w:b/>
                <w:bCs/>
                <w:sz w:val="28"/>
                <w:szCs w:val="28"/>
              </w:rPr>
            </w:pPr>
            <w:r w:rsidRPr="00E66C06">
              <w:rPr>
                <w:b/>
                <w:bCs/>
                <w:sz w:val="28"/>
                <w:szCs w:val="28"/>
              </w:rPr>
              <w:t> </w:t>
            </w:r>
          </w:p>
        </w:tc>
      </w:tr>
      <w:tr w:rsidR="00E66C06" w:rsidRPr="00E66C06" w14:paraId="337E0DFE" w14:textId="77777777" w:rsidTr="0769AEDF">
        <w:trPr>
          <w:trHeight w:val="380"/>
        </w:trPr>
        <w:tc>
          <w:tcPr>
            <w:tcW w:w="5382" w:type="dxa"/>
            <w:noWrap/>
            <w:hideMark/>
          </w:tcPr>
          <w:p w14:paraId="21955804" w14:textId="77777777" w:rsidR="00E66C06" w:rsidRPr="00E66C06" w:rsidRDefault="00E66C06">
            <w:pPr>
              <w:rPr>
                <w:b/>
                <w:bCs/>
                <w:sz w:val="28"/>
                <w:szCs w:val="28"/>
              </w:rPr>
            </w:pPr>
            <w:r w:rsidRPr="00E66C06">
              <w:rPr>
                <w:b/>
                <w:bCs/>
                <w:sz w:val="28"/>
                <w:szCs w:val="28"/>
              </w:rPr>
              <w:t>Organisation</w:t>
            </w:r>
          </w:p>
        </w:tc>
        <w:tc>
          <w:tcPr>
            <w:tcW w:w="5074" w:type="dxa"/>
            <w:noWrap/>
            <w:hideMark/>
          </w:tcPr>
          <w:p w14:paraId="795E58B5" w14:textId="77777777" w:rsidR="00E66C06" w:rsidRPr="00E66C06" w:rsidRDefault="00E66C06" w:rsidP="00E66C06">
            <w:pPr>
              <w:rPr>
                <w:b/>
                <w:bCs/>
                <w:sz w:val="28"/>
                <w:szCs w:val="28"/>
              </w:rPr>
            </w:pPr>
            <w:r w:rsidRPr="00E66C06">
              <w:rPr>
                <w:b/>
                <w:bCs/>
                <w:sz w:val="28"/>
                <w:szCs w:val="28"/>
              </w:rPr>
              <w:t> </w:t>
            </w:r>
          </w:p>
        </w:tc>
      </w:tr>
    </w:tbl>
    <w:p w14:paraId="1EA96A59" w14:textId="77777777" w:rsidR="00610B2E" w:rsidRDefault="00610B2E">
      <w:pPr>
        <w:rPr>
          <w:sz w:val="28"/>
          <w:szCs w:val="28"/>
        </w:rPr>
      </w:pPr>
    </w:p>
    <w:p w14:paraId="07CA3930" w14:textId="524FE8DE" w:rsidR="00DE16EC" w:rsidRPr="00E91326" w:rsidRDefault="00610B2E" w:rsidP="54A24D85">
      <w:pPr>
        <w:spacing w:after="288"/>
        <w:rPr>
          <w:color w:val="000000" w:themeColor="text1"/>
          <w:sz w:val="28"/>
          <w:szCs w:val="28"/>
        </w:rPr>
      </w:pPr>
      <w:r w:rsidRPr="54A24D85">
        <w:rPr>
          <w:i/>
          <w:iCs/>
          <w:sz w:val="28"/>
          <w:szCs w:val="28"/>
        </w:rPr>
        <w:t xml:space="preserve">Please note: </w:t>
      </w:r>
      <w:r w:rsidR="6BAC1CD9" w:rsidRPr="54A24D85">
        <w:rPr>
          <w:rFonts w:ascii="Arial" w:eastAsia="Arial" w:hAnsi="Arial" w:cs="Arial"/>
          <w:color w:val="000000" w:themeColor="text1"/>
        </w:rPr>
        <w:t xml:space="preserve"> </w:t>
      </w:r>
      <w:r w:rsidR="6BAC1CD9" w:rsidRPr="00E91326">
        <w:rPr>
          <w:color w:val="000000" w:themeColor="text1"/>
          <w:sz w:val="28"/>
          <w:szCs w:val="28"/>
        </w:rPr>
        <w:t>Information provided in response to this consultation, including personal information, may be subject to publication or release to other parties or to disclosure in accordance with the access to information regimes. Please see the consultation document for further information.</w:t>
      </w:r>
    </w:p>
    <w:p w14:paraId="5720FAAC" w14:textId="522FDEA3" w:rsidR="00DE16EC" w:rsidRPr="00E91326" w:rsidRDefault="6BAC1CD9" w:rsidP="00E91326">
      <w:pPr>
        <w:spacing w:after="288"/>
        <w:rPr>
          <w:color w:val="000000" w:themeColor="text1"/>
          <w:sz w:val="28"/>
          <w:szCs w:val="28"/>
        </w:rPr>
      </w:pPr>
      <w:r w:rsidRPr="00E91326">
        <w:rPr>
          <w:color w:val="000000" w:themeColor="text1"/>
          <w:sz w:val="28"/>
          <w:szCs w:val="28"/>
        </w:rPr>
        <w:t>If you want information, including personal data, that you provide to be treated as confidential, please explain to us below why you regard the information you have provided as confidential. If we receive a request for disclosure of the information, we shall take full account of your explanation, but we cannot give an assurance that confidentiality can be maintained in all circumstances. An automatic confidentiality disclaimer generated by your IT system will not, of itself, be regarded as binding on the department.</w:t>
      </w:r>
    </w:p>
    <w:p w14:paraId="31998297" w14:textId="65830283" w:rsidR="00DE16EC" w:rsidRPr="00E91326" w:rsidRDefault="6BAC1CD9" w:rsidP="00E91326">
      <w:pPr>
        <w:spacing w:after="288"/>
        <w:rPr>
          <w:rFonts w:ascii="MS Gothic" w:eastAsia="MS Gothic" w:hAnsi="MS Gothic" w:cs="MS Gothic"/>
          <w:color w:val="000000" w:themeColor="text1"/>
        </w:rPr>
      </w:pPr>
      <w:r w:rsidRPr="1AD1F835">
        <w:rPr>
          <w:color w:val="000000" w:themeColor="text1"/>
          <w:sz w:val="28"/>
          <w:szCs w:val="28"/>
        </w:rPr>
        <w:t xml:space="preserve">I want my response to be treated as confidential  </w:t>
      </w:r>
      <w:sdt>
        <w:sdtPr>
          <w:rPr>
            <w:color w:val="000000" w:themeColor="text1"/>
            <w:sz w:val="28"/>
            <w:szCs w:val="28"/>
          </w:rPr>
          <w:id w:val="847990054"/>
          <w14:checkbox>
            <w14:checked w14:val="0"/>
            <w14:checkedState w14:val="2612" w14:font="MS Gothic"/>
            <w14:uncheckedState w14:val="2610" w14:font="MS Gothic"/>
          </w14:checkbox>
        </w:sdtPr>
        <w:sdtContent>
          <w:r w:rsidR="00915C92" w:rsidRPr="1AD1F835">
            <w:rPr>
              <w:rFonts w:ascii="MS Gothic" w:eastAsia="MS Gothic" w:hAnsi="MS Gothic"/>
              <w:sz w:val="28"/>
              <w:szCs w:val="28"/>
            </w:rPr>
            <w:t>☐</w:t>
          </w:r>
        </w:sdtContent>
      </w:sdt>
    </w:p>
    <w:p w14:paraId="7742B1B0" w14:textId="5BE376D7" w:rsidR="00DE16EC" w:rsidRPr="00E91326" w:rsidRDefault="6BAC1CD9" w:rsidP="00E91326">
      <w:pPr>
        <w:spacing w:after="288"/>
        <w:rPr>
          <w:color w:val="000000" w:themeColor="text1"/>
          <w:sz w:val="28"/>
          <w:szCs w:val="28"/>
        </w:rPr>
      </w:pPr>
      <w:r w:rsidRPr="00E91326">
        <w:rPr>
          <w:color w:val="000000" w:themeColor="text1"/>
          <w:sz w:val="28"/>
          <w:szCs w:val="28"/>
        </w:rPr>
        <w:t xml:space="preserve">Comments:  </w:t>
      </w:r>
    </w:p>
    <w:p w14:paraId="1F3CD2DA" w14:textId="1F816848" w:rsidR="00DE16EC" w:rsidRDefault="009C5488" w:rsidP="54A24D85">
      <w:pPr>
        <w:rPr>
          <w:sz w:val="28"/>
          <w:szCs w:val="28"/>
        </w:rPr>
      </w:pPr>
      <w:r w:rsidRPr="54A24D85">
        <w:rPr>
          <w:sz w:val="28"/>
          <w:szCs w:val="28"/>
        </w:rPr>
        <w:t xml:space="preserve"> </w:t>
      </w:r>
      <w:r w:rsidR="357C6141" w:rsidRPr="54A24D85">
        <w:rPr>
          <w:sz w:val="28"/>
          <w:szCs w:val="28"/>
        </w:rPr>
        <w:br w:type="page"/>
      </w:r>
    </w:p>
    <w:p w14:paraId="22BEE06E" w14:textId="77777777" w:rsidR="002905E2" w:rsidRDefault="002905E2" w:rsidP="002905E2">
      <w:pPr>
        <w:rPr>
          <w:sz w:val="28"/>
          <w:szCs w:val="28"/>
        </w:rPr>
      </w:pPr>
    </w:p>
    <w:p w14:paraId="522FC25B" w14:textId="3692EADF" w:rsidR="00DE16EC" w:rsidRDefault="00DE16EC" w:rsidP="002905E2">
      <w:pPr>
        <w:rPr>
          <w:b/>
          <w:bCs/>
          <w:sz w:val="28"/>
          <w:szCs w:val="28"/>
        </w:rPr>
      </w:pPr>
      <w:r>
        <w:rPr>
          <w:b/>
          <w:bCs/>
          <w:sz w:val="28"/>
          <w:szCs w:val="28"/>
        </w:rPr>
        <w:t>Questions on Annex C: Draft Electricity Supply Standard Licence Condition</w:t>
      </w:r>
    </w:p>
    <w:tbl>
      <w:tblPr>
        <w:tblStyle w:val="TableGrid"/>
        <w:tblW w:w="10473" w:type="dxa"/>
        <w:tblLook w:val="04A0" w:firstRow="1" w:lastRow="0" w:firstColumn="1" w:lastColumn="0" w:noHBand="0" w:noVBand="1"/>
      </w:tblPr>
      <w:tblGrid>
        <w:gridCol w:w="1130"/>
        <w:gridCol w:w="9343"/>
      </w:tblGrid>
      <w:tr w:rsidR="00DE16EC" w14:paraId="15D5D4FE" w14:textId="77777777" w:rsidTr="0769AEDF">
        <w:trPr>
          <w:trHeight w:val="667"/>
        </w:trPr>
        <w:tc>
          <w:tcPr>
            <w:tcW w:w="1130" w:type="dxa"/>
            <w:vAlign w:val="center"/>
          </w:tcPr>
          <w:p w14:paraId="2BB14626" w14:textId="5EEC37EE" w:rsidR="00DE16EC" w:rsidRDefault="00DE16EC" w:rsidP="00DE16EC">
            <w:pPr>
              <w:rPr>
                <w:b/>
                <w:bCs/>
                <w:sz w:val="28"/>
                <w:szCs w:val="28"/>
              </w:rPr>
            </w:pPr>
            <w:r>
              <w:rPr>
                <w:b/>
                <w:bCs/>
                <w:sz w:val="28"/>
                <w:szCs w:val="28"/>
              </w:rPr>
              <w:t>Q1</w:t>
            </w:r>
          </w:p>
        </w:tc>
        <w:tc>
          <w:tcPr>
            <w:tcW w:w="9343" w:type="dxa"/>
            <w:vAlign w:val="center"/>
          </w:tcPr>
          <w:p w14:paraId="4ADCDB4C" w14:textId="28388B4C" w:rsidR="00DE16EC" w:rsidRPr="00DE16EC" w:rsidRDefault="00DE16EC" w:rsidP="00DE16EC">
            <w:pPr>
              <w:rPr>
                <w:sz w:val="28"/>
                <w:szCs w:val="28"/>
              </w:rPr>
            </w:pPr>
            <w:r w:rsidRPr="00DE16EC">
              <w:rPr>
                <w:sz w:val="28"/>
                <w:szCs w:val="28"/>
              </w:rPr>
              <w:t xml:space="preserve">Do you agree with proposals for exemption / derogation (11C.3 / 11C.8)?  </w:t>
            </w:r>
          </w:p>
        </w:tc>
      </w:tr>
      <w:tr w:rsidR="00DE16EC" w14:paraId="29D8C8F7" w14:textId="77777777" w:rsidTr="002F2787">
        <w:trPr>
          <w:trHeight w:val="5265"/>
        </w:trPr>
        <w:tc>
          <w:tcPr>
            <w:tcW w:w="10473" w:type="dxa"/>
            <w:gridSpan w:val="2"/>
          </w:tcPr>
          <w:p w14:paraId="36CB21B4" w14:textId="4C61F467" w:rsidR="00DE16EC" w:rsidRDefault="00DE16EC" w:rsidP="002F2787">
            <w:pPr>
              <w:rPr>
                <w:b/>
                <w:bCs/>
                <w:sz w:val="28"/>
                <w:szCs w:val="28"/>
              </w:rPr>
            </w:pPr>
            <w:r w:rsidRPr="0769AEDF">
              <w:rPr>
                <w:b/>
                <w:bCs/>
                <w:sz w:val="28"/>
                <w:szCs w:val="28"/>
              </w:rPr>
              <w:t>Response:</w:t>
            </w:r>
          </w:p>
        </w:tc>
      </w:tr>
      <w:tr w:rsidR="00DE16EC" w14:paraId="12264C32" w14:textId="77777777" w:rsidTr="0769AEDF">
        <w:trPr>
          <w:trHeight w:val="687"/>
        </w:trPr>
        <w:tc>
          <w:tcPr>
            <w:tcW w:w="1130" w:type="dxa"/>
            <w:vAlign w:val="center"/>
          </w:tcPr>
          <w:p w14:paraId="4590EEE0" w14:textId="6A2F11E3" w:rsidR="00DE16EC" w:rsidRDefault="009B3767" w:rsidP="00DE16EC">
            <w:pPr>
              <w:rPr>
                <w:b/>
                <w:bCs/>
                <w:sz w:val="28"/>
                <w:szCs w:val="28"/>
              </w:rPr>
            </w:pPr>
            <w:r>
              <w:rPr>
                <w:b/>
                <w:bCs/>
                <w:sz w:val="28"/>
                <w:szCs w:val="28"/>
              </w:rPr>
              <w:t>Q2</w:t>
            </w:r>
          </w:p>
        </w:tc>
        <w:tc>
          <w:tcPr>
            <w:tcW w:w="9343" w:type="dxa"/>
            <w:vAlign w:val="center"/>
          </w:tcPr>
          <w:p w14:paraId="6428F405" w14:textId="5B093D38" w:rsidR="00DE16EC" w:rsidRPr="009B3767" w:rsidRDefault="009B3767" w:rsidP="00DE16EC">
            <w:pPr>
              <w:rPr>
                <w:sz w:val="28"/>
                <w:szCs w:val="28"/>
              </w:rPr>
            </w:pPr>
            <w:r w:rsidRPr="009B3767">
              <w:rPr>
                <w:sz w:val="28"/>
                <w:szCs w:val="28"/>
              </w:rPr>
              <w:t xml:space="preserve">Do you agree with the definition of bespoke charges (11C.9)?  </w:t>
            </w:r>
          </w:p>
        </w:tc>
      </w:tr>
      <w:tr w:rsidR="009B3767" w14:paraId="2DB91D63" w14:textId="77777777" w:rsidTr="002F2787">
        <w:trPr>
          <w:trHeight w:val="5393"/>
        </w:trPr>
        <w:tc>
          <w:tcPr>
            <w:tcW w:w="10473" w:type="dxa"/>
            <w:gridSpan w:val="2"/>
          </w:tcPr>
          <w:p w14:paraId="233E7271" w14:textId="3DBEE908" w:rsidR="009B3767" w:rsidRPr="009B3767" w:rsidRDefault="009B3767" w:rsidP="002F2787">
            <w:pPr>
              <w:rPr>
                <w:b/>
                <w:bCs/>
                <w:sz w:val="28"/>
                <w:szCs w:val="28"/>
              </w:rPr>
            </w:pPr>
            <w:r>
              <w:rPr>
                <w:b/>
                <w:bCs/>
                <w:sz w:val="28"/>
                <w:szCs w:val="28"/>
              </w:rPr>
              <w:t>Response:</w:t>
            </w:r>
          </w:p>
        </w:tc>
      </w:tr>
    </w:tbl>
    <w:p w14:paraId="1249BDBA" w14:textId="77777777" w:rsidR="00DE16EC" w:rsidRDefault="00DE16EC" w:rsidP="002905E2">
      <w:pPr>
        <w:rPr>
          <w:b/>
          <w:bCs/>
          <w:sz w:val="28"/>
          <w:szCs w:val="28"/>
        </w:rPr>
      </w:pPr>
    </w:p>
    <w:p w14:paraId="2580EE2D" w14:textId="77777777" w:rsidR="009B3767" w:rsidRDefault="009B3767" w:rsidP="002905E2">
      <w:pPr>
        <w:rPr>
          <w:b/>
          <w:bCs/>
          <w:sz w:val="28"/>
          <w:szCs w:val="28"/>
        </w:rPr>
      </w:pPr>
    </w:p>
    <w:tbl>
      <w:tblPr>
        <w:tblStyle w:val="TableGrid"/>
        <w:tblW w:w="10473" w:type="dxa"/>
        <w:tblLook w:val="04A0" w:firstRow="1" w:lastRow="0" w:firstColumn="1" w:lastColumn="0" w:noHBand="0" w:noVBand="1"/>
      </w:tblPr>
      <w:tblGrid>
        <w:gridCol w:w="1130"/>
        <w:gridCol w:w="9343"/>
      </w:tblGrid>
      <w:tr w:rsidR="009B3767" w14:paraId="323EBC4D" w14:textId="77777777" w:rsidTr="005B2B11">
        <w:trPr>
          <w:trHeight w:val="667"/>
        </w:trPr>
        <w:tc>
          <w:tcPr>
            <w:tcW w:w="1130" w:type="dxa"/>
            <w:vAlign w:val="center"/>
          </w:tcPr>
          <w:p w14:paraId="24DE28B5" w14:textId="10A7A66E" w:rsidR="009B3767" w:rsidRDefault="009B3767" w:rsidP="005B2B11">
            <w:pPr>
              <w:rPr>
                <w:b/>
                <w:bCs/>
                <w:sz w:val="28"/>
                <w:szCs w:val="28"/>
              </w:rPr>
            </w:pPr>
            <w:r>
              <w:rPr>
                <w:b/>
                <w:bCs/>
                <w:sz w:val="28"/>
                <w:szCs w:val="28"/>
              </w:rPr>
              <w:t>Q3</w:t>
            </w:r>
          </w:p>
        </w:tc>
        <w:tc>
          <w:tcPr>
            <w:tcW w:w="9343" w:type="dxa"/>
            <w:vAlign w:val="center"/>
          </w:tcPr>
          <w:p w14:paraId="79CC6B56" w14:textId="087DAEFD" w:rsidR="009B3767" w:rsidRPr="00DE16EC" w:rsidRDefault="009B3767" w:rsidP="005B2B11">
            <w:pPr>
              <w:rPr>
                <w:sz w:val="28"/>
                <w:szCs w:val="28"/>
              </w:rPr>
            </w:pPr>
            <w:r w:rsidRPr="009B3767">
              <w:rPr>
                <w:sz w:val="28"/>
                <w:szCs w:val="28"/>
              </w:rPr>
              <w:t>Do you agree with the definition of relevant non-domestic premises (11C.9)?</w:t>
            </w:r>
          </w:p>
        </w:tc>
      </w:tr>
      <w:tr w:rsidR="009B3767" w14:paraId="192C5738" w14:textId="77777777" w:rsidTr="002F2787">
        <w:trPr>
          <w:trHeight w:val="5265"/>
        </w:trPr>
        <w:tc>
          <w:tcPr>
            <w:tcW w:w="10473" w:type="dxa"/>
            <w:gridSpan w:val="2"/>
          </w:tcPr>
          <w:p w14:paraId="2BCAABC4" w14:textId="77777777" w:rsidR="009B3767" w:rsidRDefault="009B3767" w:rsidP="002F2787">
            <w:pPr>
              <w:rPr>
                <w:b/>
                <w:bCs/>
                <w:sz w:val="28"/>
                <w:szCs w:val="28"/>
              </w:rPr>
            </w:pPr>
            <w:r>
              <w:rPr>
                <w:b/>
                <w:bCs/>
                <w:sz w:val="28"/>
                <w:szCs w:val="28"/>
              </w:rPr>
              <w:t>Response:</w:t>
            </w:r>
          </w:p>
        </w:tc>
      </w:tr>
      <w:tr w:rsidR="009B3767" w14:paraId="699D1995" w14:textId="77777777" w:rsidTr="005B2B11">
        <w:trPr>
          <w:trHeight w:val="687"/>
        </w:trPr>
        <w:tc>
          <w:tcPr>
            <w:tcW w:w="1130" w:type="dxa"/>
            <w:vAlign w:val="center"/>
          </w:tcPr>
          <w:p w14:paraId="551AD117" w14:textId="7C73C845" w:rsidR="009B3767" w:rsidRDefault="009B3767" w:rsidP="005B2B11">
            <w:pPr>
              <w:rPr>
                <w:b/>
                <w:bCs/>
                <w:sz w:val="28"/>
                <w:szCs w:val="28"/>
              </w:rPr>
            </w:pPr>
            <w:r>
              <w:rPr>
                <w:b/>
                <w:bCs/>
                <w:sz w:val="28"/>
                <w:szCs w:val="28"/>
              </w:rPr>
              <w:t>Q4</w:t>
            </w:r>
          </w:p>
        </w:tc>
        <w:tc>
          <w:tcPr>
            <w:tcW w:w="9343" w:type="dxa"/>
            <w:vAlign w:val="center"/>
          </w:tcPr>
          <w:p w14:paraId="00D43FB8" w14:textId="1B003D7A" w:rsidR="009B3767" w:rsidRPr="009B3767" w:rsidRDefault="009B3767" w:rsidP="005B2B11">
            <w:pPr>
              <w:rPr>
                <w:sz w:val="28"/>
                <w:szCs w:val="28"/>
              </w:rPr>
            </w:pPr>
            <w:r w:rsidRPr="009B3767">
              <w:rPr>
                <w:sz w:val="28"/>
                <w:szCs w:val="28"/>
              </w:rPr>
              <w:t>Do you have any other comments on the proposed clauses of the new condition to be introduced into the Electricity Supply Standard Licence Conditions?</w:t>
            </w:r>
          </w:p>
        </w:tc>
      </w:tr>
      <w:tr w:rsidR="009B3767" w14:paraId="4226B6AE" w14:textId="77777777" w:rsidTr="002F2787">
        <w:trPr>
          <w:trHeight w:val="5393"/>
        </w:trPr>
        <w:tc>
          <w:tcPr>
            <w:tcW w:w="10473" w:type="dxa"/>
            <w:gridSpan w:val="2"/>
          </w:tcPr>
          <w:p w14:paraId="4AEB5B9F" w14:textId="77777777" w:rsidR="009B3767" w:rsidRPr="009B3767" w:rsidRDefault="009B3767" w:rsidP="002F2787">
            <w:pPr>
              <w:rPr>
                <w:b/>
                <w:bCs/>
                <w:sz w:val="28"/>
                <w:szCs w:val="28"/>
              </w:rPr>
            </w:pPr>
            <w:r>
              <w:rPr>
                <w:b/>
                <w:bCs/>
                <w:sz w:val="28"/>
                <w:szCs w:val="28"/>
              </w:rPr>
              <w:lastRenderedPageBreak/>
              <w:t>Response:</w:t>
            </w:r>
          </w:p>
        </w:tc>
      </w:tr>
    </w:tbl>
    <w:p w14:paraId="0EB730F7" w14:textId="77777777" w:rsidR="009B3767" w:rsidRDefault="009B3767" w:rsidP="002905E2">
      <w:pPr>
        <w:rPr>
          <w:b/>
          <w:bCs/>
          <w:sz w:val="28"/>
          <w:szCs w:val="28"/>
        </w:rPr>
      </w:pPr>
    </w:p>
    <w:p w14:paraId="308E0704" w14:textId="77777777" w:rsidR="009B3767" w:rsidRDefault="009B3767" w:rsidP="002905E2">
      <w:pPr>
        <w:rPr>
          <w:b/>
          <w:bCs/>
          <w:sz w:val="28"/>
          <w:szCs w:val="28"/>
        </w:rPr>
      </w:pPr>
    </w:p>
    <w:p w14:paraId="1FAD4C96" w14:textId="7FE0F0C4" w:rsidR="009B3767" w:rsidRDefault="009B3767" w:rsidP="002905E2">
      <w:pPr>
        <w:rPr>
          <w:b/>
          <w:bCs/>
          <w:sz w:val="28"/>
          <w:szCs w:val="28"/>
        </w:rPr>
      </w:pPr>
      <w:r>
        <w:rPr>
          <w:b/>
          <w:bCs/>
          <w:sz w:val="28"/>
          <w:szCs w:val="28"/>
        </w:rPr>
        <w:t>Questions on Annex D: Draft Retail Energy Code Tariff Interoperability Arrangements Schedule</w:t>
      </w:r>
    </w:p>
    <w:tbl>
      <w:tblPr>
        <w:tblStyle w:val="TableGrid"/>
        <w:tblW w:w="10490" w:type="dxa"/>
        <w:tblLook w:val="04A0" w:firstRow="1" w:lastRow="0" w:firstColumn="1" w:lastColumn="0" w:noHBand="0" w:noVBand="1"/>
      </w:tblPr>
      <w:tblGrid>
        <w:gridCol w:w="1131"/>
        <w:gridCol w:w="9359"/>
      </w:tblGrid>
      <w:tr w:rsidR="009B3767" w14:paraId="4C3EE968" w14:textId="77777777" w:rsidTr="009B3767">
        <w:trPr>
          <w:trHeight w:val="692"/>
        </w:trPr>
        <w:tc>
          <w:tcPr>
            <w:tcW w:w="1131" w:type="dxa"/>
            <w:vAlign w:val="center"/>
          </w:tcPr>
          <w:p w14:paraId="422A1BD5" w14:textId="1D560B02" w:rsidR="009B3767" w:rsidRDefault="009B3767" w:rsidP="005B2B11">
            <w:pPr>
              <w:rPr>
                <w:b/>
                <w:bCs/>
                <w:sz w:val="28"/>
                <w:szCs w:val="28"/>
              </w:rPr>
            </w:pPr>
            <w:r>
              <w:rPr>
                <w:b/>
                <w:bCs/>
                <w:sz w:val="28"/>
                <w:szCs w:val="28"/>
              </w:rPr>
              <w:t>Q5</w:t>
            </w:r>
          </w:p>
        </w:tc>
        <w:tc>
          <w:tcPr>
            <w:tcW w:w="9359" w:type="dxa"/>
            <w:vAlign w:val="center"/>
          </w:tcPr>
          <w:p w14:paraId="647A8B4D" w14:textId="4AB09301" w:rsidR="009B3767" w:rsidRPr="00DE16EC" w:rsidRDefault="009B3767" w:rsidP="005B2B11">
            <w:pPr>
              <w:rPr>
                <w:sz w:val="28"/>
                <w:szCs w:val="28"/>
              </w:rPr>
            </w:pPr>
            <w:r w:rsidRPr="009B3767">
              <w:rPr>
                <w:sz w:val="28"/>
                <w:szCs w:val="28"/>
              </w:rPr>
              <w:t xml:space="preserve">Do you have any comments on the proposed REC TI Arrangements Schedule drafting (including the template User Agreement) and the proposed new TI related definitions that will be moved to REC Schedule 1 (Interpretations &amp; Definitions)?   </w:t>
            </w:r>
          </w:p>
        </w:tc>
      </w:tr>
      <w:tr w:rsidR="009B3767" w14:paraId="520C9890" w14:textId="77777777" w:rsidTr="002F2787">
        <w:trPr>
          <w:trHeight w:val="3985"/>
        </w:trPr>
        <w:tc>
          <w:tcPr>
            <w:tcW w:w="10490" w:type="dxa"/>
            <w:gridSpan w:val="2"/>
          </w:tcPr>
          <w:p w14:paraId="248D0BDB" w14:textId="77777777" w:rsidR="009B3767" w:rsidRDefault="009B3767" w:rsidP="002F2787">
            <w:pPr>
              <w:rPr>
                <w:b/>
                <w:bCs/>
                <w:sz w:val="28"/>
                <w:szCs w:val="28"/>
              </w:rPr>
            </w:pPr>
            <w:r>
              <w:rPr>
                <w:b/>
                <w:bCs/>
                <w:sz w:val="28"/>
                <w:szCs w:val="28"/>
              </w:rPr>
              <w:t>Response:</w:t>
            </w:r>
          </w:p>
        </w:tc>
      </w:tr>
      <w:tr w:rsidR="009B3767" w14:paraId="7EABAF55" w14:textId="77777777" w:rsidTr="009B3767">
        <w:trPr>
          <w:trHeight w:val="713"/>
        </w:trPr>
        <w:tc>
          <w:tcPr>
            <w:tcW w:w="1131" w:type="dxa"/>
            <w:vAlign w:val="center"/>
          </w:tcPr>
          <w:p w14:paraId="4845BB82" w14:textId="6F9C1069" w:rsidR="009B3767" w:rsidRDefault="009B3767" w:rsidP="005B2B11">
            <w:pPr>
              <w:rPr>
                <w:b/>
                <w:bCs/>
                <w:sz w:val="28"/>
                <w:szCs w:val="28"/>
              </w:rPr>
            </w:pPr>
            <w:r>
              <w:rPr>
                <w:b/>
                <w:bCs/>
                <w:sz w:val="28"/>
                <w:szCs w:val="28"/>
              </w:rPr>
              <w:lastRenderedPageBreak/>
              <w:t>Q6</w:t>
            </w:r>
          </w:p>
        </w:tc>
        <w:tc>
          <w:tcPr>
            <w:tcW w:w="9359" w:type="dxa"/>
            <w:vAlign w:val="center"/>
          </w:tcPr>
          <w:p w14:paraId="363732FC" w14:textId="28E205B0" w:rsidR="009B3767" w:rsidRPr="009B3767" w:rsidRDefault="009B3767" w:rsidP="005B2B11">
            <w:pPr>
              <w:rPr>
                <w:sz w:val="28"/>
                <w:szCs w:val="28"/>
              </w:rPr>
            </w:pPr>
            <w:r w:rsidRPr="009B3767">
              <w:rPr>
                <w:sz w:val="28"/>
                <w:szCs w:val="28"/>
              </w:rPr>
              <w:t xml:space="preserve">Considering the scope of the tariffs which are applicable under the Minimum Viable Product (MVP), we welcome views from Suppliers on the number of your existing tariffs which would fall outside the scope of the MVP, along with a rationale for why these would be excluded.  </w:t>
            </w:r>
          </w:p>
        </w:tc>
      </w:tr>
      <w:tr w:rsidR="009B3767" w14:paraId="087A69C8" w14:textId="77777777" w:rsidTr="002F2787">
        <w:trPr>
          <w:trHeight w:val="5075"/>
        </w:trPr>
        <w:tc>
          <w:tcPr>
            <w:tcW w:w="10490" w:type="dxa"/>
            <w:gridSpan w:val="2"/>
          </w:tcPr>
          <w:p w14:paraId="1B723C27" w14:textId="77777777" w:rsidR="009B3767" w:rsidRPr="009B3767" w:rsidRDefault="009B3767" w:rsidP="002F2787">
            <w:pPr>
              <w:rPr>
                <w:b/>
                <w:bCs/>
                <w:sz w:val="28"/>
                <w:szCs w:val="28"/>
              </w:rPr>
            </w:pPr>
            <w:r>
              <w:rPr>
                <w:b/>
                <w:bCs/>
                <w:sz w:val="28"/>
                <w:szCs w:val="28"/>
              </w:rPr>
              <w:t>Response:</w:t>
            </w:r>
          </w:p>
        </w:tc>
      </w:tr>
    </w:tbl>
    <w:p w14:paraId="4E0DE771" w14:textId="77777777" w:rsidR="009B3767" w:rsidRDefault="009B3767" w:rsidP="002905E2">
      <w:pPr>
        <w:rPr>
          <w:b/>
          <w:bCs/>
          <w:sz w:val="28"/>
          <w:szCs w:val="28"/>
        </w:rPr>
      </w:pPr>
    </w:p>
    <w:p w14:paraId="0E39A318" w14:textId="77777777" w:rsidR="009B3767" w:rsidRDefault="009B3767" w:rsidP="002905E2">
      <w:pPr>
        <w:rPr>
          <w:b/>
          <w:bCs/>
          <w:sz w:val="28"/>
          <w:szCs w:val="28"/>
        </w:rPr>
      </w:pPr>
    </w:p>
    <w:tbl>
      <w:tblPr>
        <w:tblStyle w:val="TableGrid"/>
        <w:tblW w:w="10562" w:type="dxa"/>
        <w:tblLook w:val="04A0" w:firstRow="1" w:lastRow="0" w:firstColumn="1" w:lastColumn="0" w:noHBand="0" w:noVBand="1"/>
      </w:tblPr>
      <w:tblGrid>
        <w:gridCol w:w="1138"/>
        <w:gridCol w:w="9424"/>
      </w:tblGrid>
      <w:tr w:rsidR="009B3767" w14:paraId="6F5D06A5" w14:textId="77777777" w:rsidTr="009B3767">
        <w:trPr>
          <w:trHeight w:val="929"/>
        </w:trPr>
        <w:tc>
          <w:tcPr>
            <w:tcW w:w="1138" w:type="dxa"/>
            <w:vAlign w:val="center"/>
          </w:tcPr>
          <w:p w14:paraId="41EE6EA6" w14:textId="764CD7B6" w:rsidR="009B3767" w:rsidRDefault="009B3767" w:rsidP="005B2B11">
            <w:pPr>
              <w:rPr>
                <w:b/>
                <w:bCs/>
                <w:sz w:val="28"/>
                <w:szCs w:val="28"/>
              </w:rPr>
            </w:pPr>
            <w:r>
              <w:rPr>
                <w:b/>
                <w:bCs/>
                <w:sz w:val="28"/>
                <w:szCs w:val="28"/>
              </w:rPr>
              <w:t>Q7</w:t>
            </w:r>
          </w:p>
        </w:tc>
        <w:tc>
          <w:tcPr>
            <w:tcW w:w="9424" w:type="dxa"/>
            <w:vAlign w:val="center"/>
          </w:tcPr>
          <w:p w14:paraId="7317B3E3" w14:textId="2C06247E" w:rsidR="009B3767" w:rsidRPr="00DE16EC" w:rsidRDefault="009B3767" w:rsidP="005B2B11">
            <w:pPr>
              <w:rPr>
                <w:sz w:val="28"/>
                <w:szCs w:val="28"/>
              </w:rPr>
            </w:pPr>
            <w:r w:rsidRPr="009B3767">
              <w:rPr>
                <w:sz w:val="28"/>
                <w:szCs w:val="28"/>
              </w:rPr>
              <w:t xml:space="preserve">Do you agree with the proposed timeframes for issuing event notifications as set out in Paragraph 4.5 of the draft REC TI Arrangements Schedule?  </w:t>
            </w:r>
          </w:p>
        </w:tc>
      </w:tr>
      <w:tr w:rsidR="009B3767" w14:paraId="26A73E8A" w14:textId="77777777" w:rsidTr="002F2787">
        <w:trPr>
          <w:trHeight w:val="4798"/>
        </w:trPr>
        <w:tc>
          <w:tcPr>
            <w:tcW w:w="10562" w:type="dxa"/>
            <w:gridSpan w:val="2"/>
          </w:tcPr>
          <w:p w14:paraId="5ED4D975" w14:textId="77777777" w:rsidR="009B3767" w:rsidRDefault="009B3767" w:rsidP="002F2787">
            <w:pPr>
              <w:rPr>
                <w:b/>
                <w:bCs/>
                <w:sz w:val="28"/>
                <w:szCs w:val="28"/>
              </w:rPr>
            </w:pPr>
            <w:r>
              <w:rPr>
                <w:b/>
                <w:bCs/>
                <w:sz w:val="28"/>
                <w:szCs w:val="28"/>
              </w:rPr>
              <w:t>Response:</w:t>
            </w:r>
          </w:p>
        </w:tc>
      </w:tr>
      <w:tr w:rsidR="009B3767" w14:paraId="34D423DC" w14:textId="77777777" w:rsidTr="009B3767">
        <w:trPr>
          <w:trHeight w:val="1203"/>
        </w:trPr>
        <w:tc>
          <w:tcPr>
            <w:tcW w:w="1138" w:type="dxa"/>
            <w:vAlign w:val="center"/>
          </w:tcPr>
          <w:p w14:paraId="7916F039" w14:textId="09A9E10D" w:rsidR="009B3767" w:rsidRDefault="009B3767" w:rsidP="005B2B11">
            <w:pPr>
              <w:rPr>
                <w:b/>
                <w:bCs/>
                <w:sz w:val="28"/>
                <w:szCs w:val="28"/>
              </w:rPr>
            </w:pPr>
            <w:r>
              <w:rPr>
                <w:b/>
                <w:bCs/>
                <w:sz w:val="28"/>
                <w:szCs w:val="28"/>
              </w:rPr>
              <w:lastRenderedPageBreak/>
              <w:t>Q8</w:t>
            </w:r>
          </w:p>
        </w:tc>
        <w:tc>
          <w:tcPr>
            <w:tcW w:w="9424" w:type="dxa"/>
            <w:vAlign w:val="center"/>
          </w:tcPr>
          <w:p w14:paraId="000AAE7A" w14:textId="15C871ED" w:rsidR="009B3767" w:rsidRPr="009B3767" w:rsidRDefault="009B3767" w:rsidP="005B2B11">
            <w:pPr>
              <w:rPr>
                <w:sz w:val="28"/>
                <w:szCs w:val="28"/>
              </w:rPr>
            </w:pPr>
            <w:r w:rsidRPr="009B3767">
              <w:rPr>
                <w:sz w:val="28"/>
                <w:szCs w:val="28"/>
              </w:rPr>
              <w:t xml:space="preserve">Do you have any concerns with the proposed metrics included in the draft REC TI Arrangements Schedule in Annex D? These which are shown in square brackets, bold and red for ease of reference.  </w:t>
            </w:r>
          </w:p>
        </w:tc>
      </w:tr>
      <w:tr w:rsidR="009B3767" w14:paraId="7D3E6004" w14:textId="77777777" w:rsidTr="002F2787">
        <w:trPr>
          <w:trHeight w:val="5863"/>
        </w:trPr>
        <w:tc>
          <w:tcPr>
            <w:tcW w:w="10562" w:type="dxa"/>
            <w:gridSpan w:val="2"/>
          </w:tcPr>
          <w:p w14:paraId="497088D6" w14:textId="77777777" w:rsidR="009B3767" w:rsidRPr="009B3767" w:rsidRDefault="009B3767" w:rsidP="002F2787">
            <w:pPr>
              <w:rPr>
                <w:b/>
                <w:bCs/>
                <w:sz w:val="28"/>
                <w:szCs w:val="28"/>
              </w:rPr>
            </w:pPr>
            <w:r>
              <w:rPr>
                <w:b/>
                <w:bCs/>
                <w:sz w:val="28"/>
                <w:szCs w:val="28"/>
              </w:rPr>
              <w:t>Response:</w:t>
            </w:r>
          </w:p>
        </w:tc>
      </w:tr>
    </w:tbl>
    <w:p w14:paraId="3155C189" w14:textId="77777777" w:rsidR="009B3767" w:rsidRDefault="009B3767" w:rsidP="002905E2">
      <w:pPr>
        <w:rPr>
          <w:b/>
          <w:bCs/>
          <w:sz w:val="28"/>
          <w:szCs w:val="28"/>
        </w:rPr>
      </w:pPr>
    </w:p>
    <w:tbl>
      <w:tblPr>
        <w:tblStyle w:val="TableGrid"/>
        <w:tblW w:w="10525" w:type="dxa"/>
        <w:tblLook w:val="04A0" w:firstRow="1" w:lastRow="0" w:firstColumn="1" w:lastColumn="0" w:noHBand="0" w:noVBand="1"/>
      </w:tblPr>
      <w:tblGrid>
        <w:gridCol w:w="1133"/>
        <w:gridCol w:w="9392"/>
      </w:tblGrid>
      <w:tr w:rsidR="009B3767" w14:paraId="11D77819" w14:textId="77777777" w:rsidTr="0769AEDF">
        <w:trPr>
          <w:trHeight w:val="1196"/>
        </w:trPr>
        <w:tc>
          <w:tcPr>
            <w:tcW w:w="1133" w:type="dxa"/>
            <w:vAlign w:val="center"/>
          </w:tcPr>
          <w:p w14:paraId="24CC4667" w14:textId="30221009" w:rsidR="009B3767" w:rsidRDefault="009B3767" w:rsidP="005B2B11">
            <w:pPr>
              <w:rPr>
                <w:b/>
                <w:bCs/>
                <w:sz w:val="28"/>
                <w:szCs w:val="28"/>
              </w:rPr>
            </w:pPr>
            <w:r>
              <w:rPr>
                <w:b/>
                <w:bCs/>
                <w:sz w:val="28"/>
                <w:szCs w:val="28"/>
              </w:rPr>
              <w:t>Q9</w:t>
            </w:r>
          </w:p>
        </w:tc>
        <w:tc>
          <w:tcPr>
            <w:tcW w:w="9391" w:type="dxa"/>
            <w:vAlign w:val="center"/>
          </w:tcPr>
          <w:p w14:paraId="4BB5A067" w14:textId="6EA7F15B" w:rsidR="009B3767" w:rsidRPr="00DE16EC" w:rsidRDefault="00395BDA" w:rsidP="005B2B11">
            <w:pPr>
              <w:rPr>
                <w:sz w:val="28"/>
                <w:szCs w:val="28"/>
              </w:rPr>
            </w:pPr>
            <w:r>
              <w:rPr>
                <w:sz w:val="28"/>
                <w:szCs w:val="28"/>
              </w:rPr>
              <w:t>As s</w:t>
            </w:r>
            <w:r w:rsidR="009B3767" w:rsidRPr="0769AEDF">
              <w:rPr>
                <w:sz w:val="28"/>
                <w:szCs w:val="28"/>
              </w:rPr>
              <w:t xml:space="preserve">et out in paragraph 1.14 of the draft </w:t>
            </w:r>
            <w:r w:rsidR="00456BA1">
              <w:rPr>
                <w:sz w:val="28"/>
                <w:szCs w:val="28"/>
              </w:rPr>
              <w:t xml:space="preserve">REC </w:t>
            </w:r>
            <w:r w:rsidR="009B3767" w:rsidRPr="0769AEDF">
              <w:rPr>
                <w:sz w:val="28"/>
                <w:szCs w:val="28"/>
              </w:rPr>
              <w:t>TI Arrangements Schedule</w:t>
            </w:r>
            <w:r>
              <w:rPr>
                <w:sz w:val="28"/>
                <w:szCs w:val="28"/>
              </w:rPr>
              <w:t>,</w:t>
            </w:r>
            <w:r w:rsidR="009B3767" w:rsidRPr="0769AEDF">
              <w:rPr>
                <w:sz w:val="28"/>
                <w:szCs w:val="28"/>
              </w:rPr>
              <w:t xml:space="preserve"> our intention is that the User Register will be publicly available so that consumers can identify whether their current or prospective third-party service provider is registered. We seek views on whether the list of RTI Users, including identifier and organisation name, should remain publicly available or whether access should be limited to Energy Suppliers. Note that, access to RTI User Registration Data (e.g. webhooks and operational contact details) would be limited to Energy Suppliers.</w:t>
            </w:r>
          </w:p>
        </w:tc>
      </w:tr>
      <w:tr w:rsidR="009B3767" w14:paraId="7D5FD20B" w14:textId="77777777" w:rsidTr="002F2787">
        <w:trPr>
          <w:trHeight w:val="3676"/>
        </w:trPr>
        <w:tc>
          <w:tcPr>
            <w:tcW w:w="10525" w:type="dxa"/>
            <w:gridSpan w:val="2"/>
          </w:tcPr>
          <w:p w14:paraId="1227010C" w14:textId="77777777" w:rsidR="009B3767" w:rsidRDefault="009B3767" w:rsidP="002F2787">
            <w:pPr>
              <w:rPr>
                <w:b/>
                <w:bCs/>
                <w:sz w:val="28"/>
                <w:szCs w:val="28"/>
              </w:rPr>
            </w:pPr>
            <w:r>
              <w:rPr>
                <w:b/>
                <w:bCs/>
                <w:sz w:val="28"/>
                <w:szCs w:val="28"/>
              </w:rPr>
              <w:lastRenderedPageBreak/>
              <w:t>Response:</w:t>
            </w:r>
          </w:p>
        </w:tc>
      </w:tr>
      <w:tr w:rsidR="009B3767" w14:paraId="5F089E94" w14:textId="77777777" w:rsidTr="0769AEDF">
        <w:trPr>
          <w:trHeight w:val="1550"/>
        </w:trPr>
        <w:tc>
          <w:tcPr>
            <w:tcW w:w="1133" w:type="dxa"/>
            <w:vAlign w:val="center"/>
          </w:tcPr>
          <w:p w14:paraId="6009E209" w14:textId="63AAAAAE" w:rsidR="009B3767" w:rsidRDefault="009B3767" w:rsidP="005B2B11">
            <w:pPr>
              <w:rPr>
                <w:b/>
                <w:bCs/>
                <w:sz w:val="28"/>
                <w:szCs w:val="28"/>
              </w:rPr>
            </w:pPr>
            <w:r>
              <w:rPr>
                <w:b/>
                <w:bCs/>
                <w:sz w:val="28"/>
                <w:szCs w:val="28"/>
              </w:rPr>
              <w:t>Q10</w:t>
            </w:r>
          </w:p>
        </w:tc>
        <w:tc>
          <w:tcPr>
            <w:tcW w:w="9391" w:type="dxa"/>
            <w:vAlign w:val="center"/>
          </w:tcPr>
          <w:p w14:paraId="76315EA4" w14:textId="12F25CB5" w:rsidR="009B3767" w:rsidRPr="009B3767" w:rsidRDefault="009B3767" w:rsidP="005B2B11">
            <w:pPr>
              <w:rPr>
                <w:sz w:val="28"/>
                <w:szCs w:val="28"/>
              </w:rPr>
            </w:pPr>
            <w:r w:rsidRPr="009B3767">
              <w:rPr>
                <w:sz w:val="28"/>
                <w:szCs w:val="28"/>
              </w:rPr>
              <w:t xml:space="preserve">Do you agree with our assumption that in the majority of instances TI Users could identify a consumer’s correct Public Tariff Pricing Data if provided with their Tariff Name and Postcode? If not, please provide the additional data items that would be required and reasons why.  </w:t>
            </w:r>
          </w:p>
        </w:tc>
      </w:tr>
      <w:tr w:rsidR="009B3767" w14:paraId="0B36EC99" w14:textId="77777777" w:rsidTr="002F2787">
        <w:trPr>
          <w:trHeight w:val="4615"/>
        </w:trPr>
        <w:tc>
          <w:tcPr>
            <w:tcW w:w="10525" w:type="dxa"/>
            <w:gridSpan w:val="2"/>
          </w:tcPr>
          <w:p w14:paraId="68B88E45" w14:textId="77777777" w:rsidR="009B3767" w:rsidRPr="009B3767" w:rsidRDefault="009B3767" w:rsidP="002F2787">
            <w:pPr>
              <w:rPr>
                <w:b/>
                <w:bCs/>
                <w:sz w:val="28"/>
                <w:szCs w:val="28"/>
              </w:rPr>
            </w:pPr>
            <w:r>
              <w:rPr>
                <w:b/>
                <w:bCs/>
                <w:sz w:val="28"/>
                <w:szCs w:val="28"/>
              </w:rPr>
              <w:t>Response:</w:t>
            </w:r>
          </w:p>
        </w:tc>
      </w:tr>
    </w:tbl>
    <w:p w14:paraId="435EBED8" w14:textId="77777777" w:rsidR="009B3767" w:rsidRDefault="009B3767" w:rsidP="002905E2">
      <w:pPr>
        <w:rPr>
          <w:b/>
          <w:bCs/>
          <w:sz w:val="28"/>
          <w:szCs w:val="28"/>
        </w:rPr>
      </w:pPr>
    </w:p>
    <w:p w14:paraId="400B4DE1" w14:textId="77777777" w:rsidR="009B3767" w:rsidRDefault="009B3767" w:rsidP="002905E2">
      <w:pPr>
        <w:rPr>
          <w:b/>
          <w:bCs/>
          <w:sz w:val="28"/>
          <w:szCs w:val="28"/>
        </w:rPr>
      </w:pPr>
    </w:p>
    <w:tbl>
      <w:tblPr>
        <w:tblStyle w:val="TableGrid"/>
        <w:tblW w:w="10578" w:type="dxa"/>
        <w:tblLook w:val="04A0" w:firstRow="1" w:lastRow="0" w:firstColumn="1" w:lastColumn="0" w:noHBand="0" w:noVBand="1"/>
      </w:tblPr>
      <w:tblGrid>
        <w:gridCol w:w="1138"/>
        <w:gridCol w:w="9440"/>
      </w:tblGrid>
      <w:tr w:rsidR="009B3767" w14:paraId="7F215C4C" w14:textId="77777777" w:rsidTr="391ACDE0">
        <w:trPr>
          <w:trHeight w:val="2103"/>
        </w:trPr>
        <w:tc>
          <w:tcPr>
            <w:tcW w:w="1138" w:type="dxa"/>
            <w:vAlign w:val="center"/>
          </w:tcPr>
          <w:p w14:paraId="078D4BF4" w14:textId="657265B4" w:rsidR="009B3767" w:rsidRDefault="009B3767" w:rsidP="005B2B11">
            <w:pPr>
              <w:rPr>
                <w:b/>
                <w:bCs/>
                <w:sz w:val="28"/>
                <w:szCs w:val="28"/>
              </w:rPr>
            </w:pPr>
            <w:r>
              <w:rPr>
                <w:b/>
                <w:bCs/>
                <w:sz w:val="28"/>
                <w:szCs w:val="28"/>
              </w:rPr>
              <w:t>Q11</w:t>
            </w:r>
          </w:p>
        </w:tc>
        <w:tc>
          <w:tcPr>
            <w:tcW w:w="9440" w:type="dxa"/>
            <w:vAlign w:val="center"/>
          </w:tcPr>
          <w:p w14:paraId="52A7818A" w14:textId="3C814678" w:rsidR="009B3767" w:rsidRPr="00DE16EC" w:rsidRDefault="009B3767" w:rsidP="005B2B11">
            <w:pPr>
              <w:rPr>
                <w:sz w:val="28"/>
                <w:szCs w:val="28"/>
              </w:rPr>
            </w:pPr>
            <w:r w:rsidRPr="391ACDE0">
              <w:rPr>
                <w:sz w:val="28"/>
                <w:szCs w:val="28"/>
              </w:rPr>
              <w:t>Our assumption is that certain suppliers may have more complex tariff arrangements which mean that additional information (</w:t>
            </w:r>
            <w:r w:rsidR="00B62BE8" w:rsidRPr="391ACDE0">
              <w:rPr>
                <w:sz w:val="28"/>
                <w:szCs w:val="28"/>
              </w:rPr>
              <w:t>e.g.</w:t>
            </w:r>
            <w:r w:rsidRPr="391ACDE0">
              <w:rPr>
                <w:sz w:val="28"/>
                <w:szCs w:val="28"/>
              </w:rPr>
              <w:t xml:space="preserve"> Meter type), beyond Tariff Name and Postcode, will be required for a TI User to determine a consumer’s correct Public Tariff Pricing Data. We anticipate that it may be difficult for consumer</w:t>
            </w:r>
            <w:r w:rsidR="1918E556" w:rsidRPr="391ACDE0">
              <w:rPr>
                <w:sz w:val="28"/>
                <w:szCs w:val="28"/>
              </w:rPr>
              <w:t>s</w:t>
            </w:r>
            <w:r w:rsidRPr="391ACDE0">
              <w:rPr>
                <w:sz w:val="28"/>
                <w:szCs w:val="28"/>
              </w:rPr>
              <w:t xml:space="preserve"> to provide this additional information. Do you therefore agree that it is reasonable that consumers who have tariffs with </w:t>
            </w:r>
            <w:r w:rsidRPr="391ACDE0">
              <w:rPr>
                <w:sz w:val="28"/>
                <w:szCs w:val="28"/>
              </w:rPr>
              <w:lastRenderedPageBreak/>
              <w:t>these suppliers will only be able to optimise their ESA by providing consent to the RTI User to access their Consumer Specific Tariff information?</w:t>
            </w:r>
          </w:p>
        </w:tc>
      </w:tr>
      <w:tr w:rsidR="009B3767" w14:paraId="250890A5" w14:textId="77777777" w:rsidTr="391ACDE0">
        <w:trPr>
          <w:trHeight w:val="6464"/>
        </w:trPr>
        <w:tc>
          <w:tcPr>
            <w:tcW w:w="10578" w:type="dxa"/>
            <w:gridSpan w:val="2"/>
          </w:tcPr>
          <w:p w14:paraId="3DDEBD14" w14:textId="77777777" w:rsidR="009B3767" w:rsidRDefault="009B3767" w:rsidP="002F2787">
            <w:pPr>
              <w:rPr>
                <w:b/>
                <w:bCs/>
                <w:sz w:val="28"/>
                <w:szCs w:val="28"/>
              </w:rPr>
            </w:pPr>
            <w:r>
              <w:rPr>
                <w:b/>
                <w:bCs/>
                <w:sz w:val="28"/>
                <w:szCs w:val="28"/>
              </w:rPr>
              <w:lastRenderedPageBreak/>
              <w:t>Response:</w:t>
            </w:r>
          </w:p>
        </w:tc>
      </w:tr>
    </w:tbl>
    <w:p w14:paraId="79D5EFB7" w14:textId="241F3F6D" w:rsidR="00EA4346" w:rsidRDefault="00EA4346" w:rsidP="002905E2">
      <w:pPr>
        <w:rPr>
          <w:b/>
          <w:bCs/>
          <w:sz w:val="28"/>
          <w:szCs w:val="28"/>
        </w:rPr>
      </w:pPr>
    </w:p>
    <w:p w14:paraId="5DD108EC" w14:textId="77777777" w:rsidR="00EA4346" w:rsidRDefault="00EA4346">
      <w:pPr>
        <w:rPr>
          <w:b/>
          <w:bCs/>
          <w:sz w:val="28"/>
          <w:szCs w:val="28"/>
        </w:rPr>
      </w:pPr>
      <w:r>
        <w:rPr>
          <w:b/>
          <w:bCs/>
          <w:sz w:val="28"/>
          <w:szCs w:val="28"/>
        </w:rPr>
        <w:br w:type="page"/>
      </w:r>
    </w:p>
    <w:p w14:paraId="0230C5C1" w14:textId="77777777" w:rsidR="009B3767" w:rsidRDefault="009B3767" w:rsidP="002905E2">
      <w:pPr>
        <w:rPr>
          <w:b/>
          <w:bCs/>
          <w:sz w:val="28"/>
          <w:szCs w:val="28"/>
        </w:rPr>
      </w:pPr>
    </w:p>
    <w:p w14:paraId="19ACA6FF" w14:textId="5685D830" w:rsidR="00EA4346" w:rsidRDefault="00EA4346" w:rsidP="002905E2">
      <w:pPr>
        <w:rPr>
          <w:b/>
          <w:bCs/>
          <w:sz w:val="28"/>
          <w:szCs w:val="28"/>
        </w:rPr>
      </w:pPr>
      <w:r>
        <w:rPr>
          <w:b/>
          <w:bCs/>
          <w:sz w:val="28"/>
          <w:szCs w:val="28"/>
        </w:rPr>
        <w:t>Questions on Annex E: Draft TI API Technical Specification and Energy Market Data Specification Changes</w:t>
      </w:r>
    </w:p>
    <w:tbl>
      <w:tblPr>
        <w:tblStyle w:val="TableGrid"/>
        <w:tblW w:w="10578" w:type="dxa"/>
        <w:tblLook w:val="04A0" w:firstRow="1" w:lastRow="0" w:firstColumn="1" w:lastColumn="0" w:noHBand="0" w:noVBand="1"/>
      </w:tblPr>
      <w:tblGrid>
        <w:gridCol w:w="1138"/>
        <w:gridCol w:w="9440"/>
      </w:tblGrid>
      <w:tr w:rsidR="00EA4346" w14:paraId="57365562" w14:textId="77777777" w:rsidTr="00EA4346">
        <w:trPr>
          <w:trHeight w:val="1298"/>
        </w:trPr>
        <w:tc>
          <w:tcPr>
            <w:tcW w:w="1138" w:type="dxa"/>
            <w:vAlign w:val="center"/>
          </w:tcPr>
          <w:p w14:paraId="19A6D8CA" w14:textId="4E996C16" w:rsidR="00EA4346" w:rsidRDefault="00EA4346" w:rsidP="005B2B11">
            <w:pPr>
              <w:rPr>
                <w:b/>
                <w:bCs/>
                <w:sz w:val="28"/>
                <w:szCs w:val="28"/>
              </w:rPr>
            </w:pPr>
            <w:r>
              <w:rPr>
                <w:b/>
                <w:bCs/>
                <w:sz w:val="28"/>
                <w:szCs w:val="28"/>
              </w:rPr>
              <w:t>Q12</w:t>
            </w:r>
          </w:p>
        </w:tc>
        <w:tc>
          <w:tcPr>
            <w:tcW w:w="9440" w:type="dxa"/>
            <w:vAlign w:val="center"/>
          </w:tcPr>
          <w:p w14:paraId="30D785D7" w14:textId="49322758" w:rsidR="00EA4346" w:rsidRPr="00DE16EC" w:rsidRDefault="00EA4346" w:rsidP="005B2B11">
            <w:pPr>
              <w:rPr>
                <w:sz w:val="28"/>
                <w:szCs w:val="28"/>
              </w:rPr>
            </w:pPr>
            <w:r w:rsidRPr="00EA4346">
              <w:rPr>
                <w:sz w:val="28"/>
                <w:szCs w:val="28"/>
              </w:rPr>
              <w:t xml:space="preserve">Do you have any comments on the proposed Tariff Interoperability (TI) API Technical Specification?  </w:t>
            </w:r>
          </w:p>
        </w:tc>
      </w:tr>
      <w:tr w:rsidR="00EA4346" w14:paraId="0B5A08AD" w14:textId="77777777" w:rsidTr="002F2787">
        <w:trPr>
          <w:trHeight w:val="3990"/>
        </w:trPr>
        <w:tc>
          <w:tcPr>
            <w:tcW w:w="10578" w:type="dxa"/>
            <w:gridSpan w:val="2"/>
          </w:tcPr>
          <w:p w14:paraId="5A7666FE" w14:textId="77777777" w:rsidR="00EA4346" w:rsidRDefault="00EA4346" w:rsidP="002F2787">
            <w:pPr>
              <w:rPr>
                <w:b/>
                <w:bCs/>
                <w:sz w:val="28"/>
                <w:szCs w:val="28"/>
              </w:rPr>
            </w:pPr>
            <w:r>
              <w:rPr>
                <w:b/>
                <w:bCs/>
                <w:sz w:val="28"/>
                <w:szCs w:val="28"/>
              </w:rPr>
              <w:t>Response:</w:t>
            </w:r>
          </w:p>
        </w:tc>
      </w:tr>
      <w:tr w:rsidR="00EA4346" w14:paraId="0D8DF8FB" w14:textId="77777777" w:rsidTr="00EA4346">
        <w:trPr>
          <w:trHeight w:val="1682"/>
        </w:trPr>
        <w:tc>
          <w:tcPr>
            <w:tcW w:w="1138" w:type="dxa"/>
            <w:vAlign w:val="center"/>
          </w:tcPr>
          <w:p w14:paraId="180B85A1" w14:textId="680067EE" w:rsidR="00EA4346" w:rsidRDefault="00EA4346" w:rsidP="005B2B11">
            <w:pPr>
              <w:rPr>
                <w:b/>
                <w:bCs/>
                <w:sz w:val="28"/>
                <w:szCs w:val="28"/>
              </w:rPr>
            </w:pPr>
            <w:r>
              <w:rPr>
                <w:b/>
                <w:bCs/>
                <w:sz w:val="28"/>
                <w:szCs w:val="28"/>
              </w:rPr>
              <w:t>Q13</w:t>
            </w:r>
          </w:p>
        </w:tc>
        <w:tc>
          <w:tcPr>
            <w:tcW w:w="9440" w:type="dxa"/>
            <w:vAlign w:val="center"/>
          </w:tcPr>
          <w:p w14:paraId="0D122E7C" w14:textId="659D56F6" w:rsidR="00EA4346" w:rsidRPr="009B3767" w:rsidRDefault="00EA4346" w:rsidP="005B2B11">
            <w:pPr>
              <w:rPr>
                <w:sz w:val="28"/>
                <w:szCs w:val="28"/>
              </w:rPr>
            </w:pPr>
            <w:r w:rsidRPr="00EA4346">
              <w:rPr>
                <w:sz w:val="28"/>
                <w:szCs w:val="28"/>
              </w:rPr>
              <w:t>Do you agree that the proposed changes to the Energy Market Data Specification (EMDS), detailed in the Data Item Catalogue and Market Messages Catalogue are all required for optimisation and in line with the MVP scope?</w:t>
            </w:r>
          </w:p>
        </w:tc>
      </w:tr>
      <w:tr w:rsidR="00EA4346" w14:paraId="72D9B62C" w14:textId="77777777" w:rsidTr="002F2787">
        <w:trPr>
          <w:trHeight w:val="5010"/>
        </w:trPr>
        <w:tc>
          <w:tcPr>
            <w:tcW w:w="10578" w:type="dxa"/>
            <w:gridSpan w:val="2"/>
          </w:tcPr>
          <w:p w14:paraId="1A9575ED" w14:textId="77777777" w:rsidR="00EA4346" w:rsidRPr="009B3767" w:rsidRDefault="00EA4346" w:rsidP="002F2787">
            <w:pPr>
              <w:rPr>
                <w:b/>
                <w:bCs/>
                <w:sz w:val="28"/>
                <w:szCs w:val="28"/>
              </w:rPr>
            </w:pPr>
            <w:r>
              <w:rPr>
                <w:b/>
                <w:bCs/>
                <w:sz w:val="28"/>
                <w:szCs w:val="28"/>
              </w:rPr>
              <w:lastRenderedPageBreak/>
              <w:t>Response:</w:t>
            </w:r>
          </w:p>
        </w:tc>
      </w:tr>
    </w:tbl>
    <w:p w14:paraId="11E502BD" w14:textId="77777777" w:rsidR="00EA4346" w:rsidRDefault="00EA4346" w:rsidP="002905E2">
      <w:pPr>
        <w:rPr>
          <w:b/>
          <w:bCs/>
          <w:sz w:val="28"/>
          <w:szCs w:val="28"/>
        </w:rPr>
      </w:pPr>
    </w:p>
    <w:p w14:paraId="568CF668" w14:textId="46AC0FD4" w:rsidR="00EA4346" w:rsidRDefault="00EA4346" w:rsidP="00EA4346">
      <w:pPr>
        <w:rPr>
          <w:b/>
          <w:bCs/>
          <w:sz w:val="28"/>
          <w:szCs w:val="28"/>
        </w:rPr>
      </w:pPr>
      <w:r>
        <w:rPr>
          <w:b/>
          <w:bCs/>
          <w:sz w:val="28"/>
          <w:szCs w:val="28"/>
        </w:rPr>
        <w:t>Questions on Annex F: Draft TI API Technical Specification and Energy Market Data Specification Changes</w:t>
      </w:r>
    </w:p>
    <w:tbl>
      <w:tblPr>
        <w:tblStyle w:val="TableGrid"/>
        <w:tblW w:w="10778" w:type="dxa"/>
        <w:tblLook w:val="04A0" w:firstRow="1" w:lastRow="0" w:firstColumn="1" w:lastColumn="0" w:noHBand="0" w:noVBand="1"/>
      </w:tblPr>
      <w:tblGrid>
        <w:gridCol w:w="1159"/>
        <w:gridCol w:w="9619"/>
      </w:tblGrid>
      <w:tr w:rsidR="00EA4346" w14:paraId="5B9246F8" w14:textId="77777777" w:rsidTr="00EA4346">
        <w:trPr>
          <w:trHeight w:val="1254"/>
        </w:trPr>
        <w:tc>
          <w:tcPr>
            <w:tcW w:w="1159" w:type="dxa"/>
            <w:vAlign w:val="center"/>
          </w:tcPr>
          <w:p w14:paraId="78D5DEA0" w14:textId="21B1FF40" w:rsidR="00EA4346" w:rsidRDefault="00EA4346" w:rsidP="005B2B11">
            <w:pPr>
              <w:rPr>
                <w:b/>
                <w:bCs/>
                <w:sz w:val="28"/>
                <w:szCs w:val="28"/>
              </w:rPr>
            </w:pPr>
            <w:r>
              <w:rPr>
                <w:b/>
                <w:bCs/>
                <w:sz w:val="28"/>
                <w:szCs w:val="28"/>
              </w:rPr>
              <w:t>Q14</w:t>
            </w:r>
          </w:p>
        </w:tc>
        <w:tc>
          <w:tcPr>
            <w:tcW w:w="9619" w:type="dxa"/>
            <w:vAlign w:val="center"/>
          </w:tcPr>
          <w:p w14:paraId="3FCAA114" w14:textId="0834E872" w:rsidR="00EA4346" w:rsidRPr="00DE16EC" w:rsidRDefault="00EA4346" w:rsidP="005B2B11">
            <w:pPr>
              <w:rPr>
                <w:sz w:val="28"/>
                <w:szCs w:val="28"/>
              </w:rPr>
            </w:pPr>
            <w:r w:rsidRPr="00EA4346">
              <w:rPr>
                <w:sz w:val="28"/>
                <w:szCs w:val="28"/>
              </w:rPr>
              <w:t>Do you have any comments on the proposed redline changes to paragraphs 2.11 and 2.14 of the Standards Definition Document set out in Annex F?</w:t>
            </w:r>
          </w:p>
        </w:tc>
      </w:tr>
      <w:tr w:rsidR="00EA4346" w14:paraId="06E1892A" w14:textId="77777777" w:rsidTr="002F2787">
        <w:trPr>
          <w:trHeight w:val="8856"/>
        </w:trPr>
        <w:tc>
          <w:tcPr>
            <w:tcW w:w="10778" w:type="dxa"/>
            <w:gridSpan w:val="2"/>
          </w:tcPr>
          <w:p w14:paraId="15B9759B" w14:textId="77777777" w:rsidR="00EA4346" w:rsidRDefault="00EA4346" w:rsidP="002F2787">
            <w:pPr>
              <w:rPr>
                <w:b/>
                <w:bCs/>
                <w:sz w:val="28"/>
                <w:szCs w:val="28"/>
              </w:rPr>
            </w:pPr>
            <w:r>
              <w:rPr>
                <w:b/>
                <w:bCs/>
                <w:sz w:val="28"/>
                <w:szCs w:val="28"/>
              </w:rPr>
              <w:lastRenderedPageBreak/>
              <w:t>Response:</w:t>
            </w:r>
          </w:p>
        </w:tc>
      </w:tr>
    </w:tbl>
    <w:p w14:paraId="4FC1BD6E" w14:textId="77777777" w:rsidR="00EA4346" w:rsidRDefault="00EA4346" w:rsidP="002905E2">
      <w:pPr>
        <w:rPr>
          <w:b/>
          <w:bCs/>
          <w:sz w:val="28"/>
          <w:szCs w:val="28"/>
        </w:rPr>
      </w:pPr>
    </w:p>
    <w:p w14:paraId="58E883D5" w14:textId="77777777" w:rsidR="00EA4346" w:rsidRDefault="00EA4346" w:rsidP="002905E2">
      <w:pPr>
        <w:rPr>
          <w:b/>
          <w:bCs/>
          <w:sz w:val="28"/>
          <w:szCs w:val="28"/>
        </w:rPr>
      </w:pPr>
    </w:p>
    <w:p w14:paraId="54DC7681" w14:textId="77777777" w:rsidR="00EA4346" w:rsidRDefault="00EA4346" w:rsidP="002905E2">
      <w:pPr>
        <w:rPr>
          <w:b/>
          <w:bCs/>
          <w:sz w:val="28"/>
          <w:szCs w:val="28"/>
        </w:rPr>
      </w:pPr>
    </w:p>
    <w:p w14:paraId="2D5B8A9D" w14:textId="77777777" w:rsidR="00EA4346" w:rsidRDefault="00EA4346" w:rsidP="002905E2">
      <w:pPr>
        <w:rPr>
          <w:b/>
          <w:bCs/>
          <w:sz w:val="28"/>
          <w:szCs w:val="28"/>
        </w:rPr>
      </w:pPr>
    </w:p>
    <w:p w14:paraId="01B207BA" w14:textId="77777777" w:rsidR="00EA4346" w:rsidRDefault="00EA4346" w:rsidP="002905E2">
      <w:pPr>
        <w:rPr>
          <w:b/>
          <w:bCs/>
          <w:sz w:val="28"/>
          <w:szCs w:val="28"/>
        </w:rPr>
      </w:pPr>
    </w:p>
    <w:p w14:paraId="58AF2379" w14:textId="168D415C" w:rsidR="00EA4346" w:rsidRPr="00F02017" w:rsidRDefault="00EA4346" w:rsidP="00EA4346">
      <w:pPr>
        <w:rPr>
          <w:b/>
          <w:bCs/>
          <w:sz w:val="28"/>
          <w:szCs w:val="28"/>
          <w:lang w:val="fr-FR"/>
        </w:rPr>
      </w:pPr>
      <w:r w:rsidRPr="00F02017">
        <w:rPr>
          <w:b/>
          <w:bCs/>
          <w:sz w:val="28"/>
          <w:szCs w:val="28"/>
          <w:lang w:val="fr-FR"/>
        </w:rPr>
        <w:t>Questions on Annex G: Implementation Timeline</w:t>
      </w:r>
    </w:p>
    <w:tbl>
      <w:tblPr>
        <w:tblStyle w:val="TableGrid"/>
        <w:tblW w:w="10578" w:type="dxa"/>
        <w:tblLook w:val="04A0" w:firstRow="1" w:lastRow="0" w:firstColumn="1" w:lastColumn="0" w:noHBand="0" w:noVBand="1"/>
      </w:tblPr>
      <w:tblGrid>
        <w:gridCol w:w="1138"/>
        <w:gridCol w:w="9440"/>
      </w:tblGrid>
      <w:tr w:rsidR="00EA4346" w14:paraId="7549FD82" w14:textId="77777777" w:rsidTr="005B2B11">
        <w:trPr>
          <w:trHeight w:val="1298"/>
        </w:trPr>
        <w:tc>
          <w:tcPr>
            <w:tcW w:w="1138" w:type="dxa"/>
            <w:vAlign w:val="center"/>
          </w:tcPr>
          <w:p w14:paraId="3DC9480D" w14:textId="0C153411" w:rsidR="00EA4346" w:rsidRDefault="00EA4346" w:rsidP="005B2B11">
            <w:pPr>
              <w:rPr>
                <w:b/>
                <w:bCs/>
                <w:sz w:val="28"/>
                <w:szCs w:val="28"/>
              </w:rPr>
            </w:pPr>
            <w:r>
              <w:rPr>
                <w:b/>
                <w:bCs/>
                <w:sz w:val="28"/>
                <w:szCs w:val="28"/>
              </w:rPr>
              <w:lastRenderedPageBreak/>
              <w:t>Q15</w:t>
            </w:r>
          </w:p>
        </w:tc>
        <w:tc>
          <w:tcPr>
            <w:tcW w:w="9440" w:type="dxa"/>
            <w:vAlign w:val="center"/>
          </w:tcPr>
          <w:p w14:paraId="6DDDE93F" w14:textId="354D20A7" w:rsidR="00EA4346" w:rsidRPr="00DE16EC" w:rsidRDefault="00EA4346" w:rsidP="005B2B11">
            <w:pPr>
              <w:rPr>
                <w:sz w:val="28"/>
                <w:szCs w:val="28"/>
              </w:rPr>
            </w:pPr>
            <w:r w:rsidRPr="00EA4346">
              <w:rPr>
                <w:sz w:val="28"/>
                <w:szCs w:val="28"/>
              </w:rPr>
              <w:t xml:space="preserve">Do you have any comments on the overall implementation approach and timeline set out in this annex, including the implementation date of 01 January 2027?    </w:t>
            </w:r>
          </w:p>
        </w:tc>
      </w:tr>
      <w:tr w:rsidR="00EA4346" w14:paraId="434313BE" w14:textId="77777777" w:rsidTr="002F2787">
        <w:trPr>
          <w:trHeight w:val="3990"/>
        </w:trPr>
        <w:tc>
          <w:tcPr>
            <w:tcW w:w="10578" w:type="dxa"/>
            <w:gridSpan w:val="2"/>
          </w:tcPr>
          <w:p w14:paraId="328F6C86" w14:textId="77777777" w:rsidR="00EA4346" w:rsidRDefault="00EA4346" w:rsidP="002F2787">
            <w:pPr>
              <w:rPr>
                <w:b/>
                <w:bCs/>
                <w:sz w:val="28"/>
                <w:szCs w:val="28"/>
              </w:rPr>
            </w:pPr>
            <w:r>
              <w:rPr>
                <w:b/>
                <w:bCs/>
                <w:sz w:val="28"/>
                <w:szCs w:val="28"/>
              </w:rPr>
              <w:t>Response:</w:t>
            </w:r>
          </w:p>
        </w:tc>
      </w:tr>
      <w:tr w:rsidR="00EA4346" w14:paraId="7CB4BAA1" w14:textId="77777777" w:rsidTr="005B2B11">
        <w:trPr>
          <w:trHeight w:val="1682"/>
        </w:trPr>
        <w:tc>
          <w:tcPr>
            <w:tcW w:w="1138" w:type="dxa"/>
            <w:vAlign w:val="center"/>
          </w:tcPr>
          <w:p w14:paraId="7F59294D" w14:textId="6097F603" w:rsidR="00EA4346" w:rsidRDefault="00EA4346" w:rsidP="005B2B11">
            <w:pPr>
              <w:rPr>
                <w:b/>
                <w:bCs/>
                <w:sz w:val="28"/>
                <w:szCs w:val="28"/>
              </w:rPr>
            </w:pPr>
            <w:r>
              <w:rPr>
                <w:b/>
                <w:bCs/>
                <w:sz w:val="28"/>
                <w:szCs w:val="28"/>
              </w:rPr>
              <w:t>Q16</w:t>
            </w:r>
          </w:p>
        </w:tc>
        <w:tc>
          <w:tcPr>
            <w:tcW w:w="9440" w:type="dxa"/>
            <w:vAlign w:val="center"/>
          </w:tcPr>
          <w:p w14:paraId="1A92618A" w14:textId="2EFDAF52" w:rsidR="00EA4346" w:rsidRPr="009B3767" w:rsidRDefault="00EA4346" w:rsidP="005B2B11">
            <w:pPr>
              <w:rPr>
                <w:sz w:val="28"/>
                <w:szCs w:val="28"/>
              </w:rPr>
            </w:pPr>
            <w:r w:rsidRPr="00EA4346">
              <w:rPr>
                <w:sz w:val="28"/>
                <w:szCs w:val="28"/>
              </w:rPr>
              <w:t xml:space="preserve">Do you have any comments on the high-level test approach set out in paragraphs 25-28?   </w:t>
            </w:r>
          </w:p>
        </w:tc>
      </w:tr>
      <w:tr w:rsidR="00EA4346" w14:paraId="1600F478" w14:textId="77777777" w:rsidTr="002F2787">
        <w:trPr>
          <w:trHeight w:val="5010"/>
        </w:trPr>
        <w:tc>
          <w:tcPr>
            <w:tcW w:w="10578" w:type="dxa"/>
            <w:gridSpan w:val="2"/>
          </w:tcPr>
          <w:p w14:paraId="3C68A7FA" w14:textId="77777777" w:rsidR="00EA4346" w:rsidRPr="009B3767" w:rsidRDefault="00EA4346" w:rsidP="002F2787">
            <w:pPr>
              <w:rPr>
                <w:b/>
                <w:bCs/>
                <w:sz w:val="28"/>
                <w:szCs w:val="28"/>
              </w:rPr>
            </w:pPr>
            <w:r>
              <w:rPr>
                <w:b/>
                <w:bCs/>
                <w:sz w:val="28"/>
                <w:szCs w:val="28"/>
              </w:rPr>
              <w:t>Response:</w:t>
            </w:r>
          </w:p>
        </w:tc>
      </w:tr>
    </w:tbl>
    <w:p w14:paraId="7E146710" w14:textId="452933A5" w:rsidR="00EA4346" w:rsidRDefault="00EA4346" w:rsidP="00EA4346">
      <w:pPr>
        <w:rPr>
          <w:b/>
          <w:bCs/>
          <w:sz w:val="28"/>
          <w:szCs w:val="28"/>
        </w:rPr>
      </w:pPr>
    </w:p>
    <w:p w14:paraId="0D83FFF8" w14:textId="77777777" w:rsidR="00EA4346" w:rsidRDefault="00EA4346" w:rsidP="00EA4346">
      <w:pPr>
        <w:rPr>
          <w:b/>
          <w:bCs/>
          <w:sz w:val="28"/>
          <w:szCs w:val="28"/>
        </w:rPr>
      </w:pPr>
    </w:p>
    <w:tbl>
      <w:tblPr>
        <w:tblStyle w:val="TableGrid"/>
        <w:tblW w:w="10650" w:type="dxa"/>
        <w:tblLook w:val="04A0" w:firstRow="1" w:lastRow="0" w:firstColumn="1" w:lastColumn="0" w:noHBand="0" w:noVBand="1"/>
      </w:tblPr>
      <w:tblGrid>
        <w:gridCol w:w="1145"/>
        <w:gridCol w:w="9505"/>
      </w:tblGrid>
      <w:tr w:rsidR="00EA4346" w14:paraId="237C59DB" w14:textId="77777777" w:rsidTr="457068FA">
        <w:trPr>
          <w:trHeight w:val="1347"/>
        </w:trPr>
        <w:tc>
          <w:tcPr>
            <w:tcW w:w="1145" w:type="dxa"/>
            <w:vAlign w:val="center"/>
          </w:tcPr>
          <w:p w14:paraId="0E546528" w14:textId="37A87AFE" w:rsidR="00EA4346" w:rsidRDefault="00EA4346" w:rsidP="005B2B11">
            <w:pPr>
              <w:rPr>
                <w:b/>
                <w:bCs/>
                <w:sz w:val="28"/>
                <w:szCs w:val="28"/>
              </w:rPr>
            </w:pPr>
            <w:r>
              <w:rPr>
                <w:b/>
                <w:bCs/>
                <w:sz w:val="28"/>
                <w:szCs w:val="28"/>
              </w:rPr>
              <w:lastRenderedPageBreak/>
              <w:t>Q17</w:t>
            </w:r>
          </w:p>
        </w:tc>
        <w:tc>
          <w:tcPr>
            <w:tcW w:w="9505" w:type="dxa"/>
            <w:vAlign w:val="center"/>
          </w:tcPr>
          <w:p w14:paraId="56B972F7" w14:textId="4ED696B8" w:rsidR="00EA4346" w:rsidRPr="00DE16EC" w:rsidRDefault="00E66C06" w:rsidP="005B2B11">
            <w:pPr>
              <w:rPr>
                <w:sz w:val="28"/>
                <w:szCs w:val="28"/>
              </w:rPr>
            </w:pPr>
            <w:r w:rsidRPr="457068FA">
              <w:rPr>
                <w:sz w:val="28"/>
                <w:szCs w:val="28"/>
              </w:rPr>
              <w:t>Do you consider that an implementation working group should be established to support technical discussions on testing artefacts, defects and proposed design changes? If yes, please provide any additional information on the scope and membership of this group as well as when it should be established</w:t>
            </w:r>
            <w:r w:rsidR="0FC8DCD8" w:rsidRPr="457068FA">
              <w:rPr>
                <w:sz w:val="28"/>
                <w:szCs w:val="28"/>
              </w:rPr>
              <w:t>.</w:t>
            </w:r>
          </w:p>
        </w:tc>
      </w:tr>
      <w:tr w:rsidR="00EA4346" w14:paraId="4E4A75D4" w14:textId="77777777" w:rsidTr="002F2787">
        <w:trPr>
          <w:trHeight w:val="3741"/>
        </w:trPr>
        <w:tc>
          <w:tcPr>
            <w:tcW w:w="10650" w:type="dxa"/>
            <w:gridSpan w:val="2"/>
          </w:tcPr>
          <w:p w14:paraId="748FDE27" w14:textId="77777777" w:rsidR="00EA4346" w:rsidRDefault="00EA4346" w:rsidP="002F2787">
            <w:pPr>
              <w:rPr>
                <w:b/>
                <w:bCs/>
                <w:sz w:val="28"/>
                <w:szCs w:val="28"/>
              </w:rPr>
            </w:pPr>
            <w:r>
              <w:rPr>
                <w:b/>
                <w:bCs/>
                <w:sz w:val="28"/>
                <w:szCs w:val="28"/>
              </w:rPr>
              <w:t>Response:</w:t>
            </w:r>
          </w:p>
        </w:tc>
      </w:tr>
      <w:tr w:rsidR="00EA4346" w14:paraId="22F39E3C" w14:textId="77777777" w:rsidTr="457068FA">
        <w:trPr>
          <w:trHeight w:val="2176"/>
        </w:trPr>
        <w:tc>
          <w:tcPr>
            <w:tcW w:w="1145" w:type="dxa"/>
            <w:vAlign w:val="center"/>
          </w:tcPr>
          <w:p w14:paraId="19972301" w14:textId="214EE088" w:rsidR="00EA4346" w:rsidRDefault="00EA4346" w:rsidP="005B2B11">
            <w:pPr>
              <w:rPr>
                <w:b/>
                <w:bCs/>
                <w:sz w:val="28"/>
                <w:szCs w:val="28"/>
              </w:rPr>
            </w:pPr>
            <w:r>
              <w:rPr>
                <w:b/>
                <w:bCs/>
                <w:sz w:val="28"/>
                <w:szCs w:val="28"/>
              </w:rPr>
              <w:t>Q1</w:t>
            </w:r>
            <w:r w:rsidR="00E66C06">
              <w:rPr>
                <w:b/>
                <w:bCs/>
                <w:sz w:val="28"/>
                <w:szCs w:val="28"/>
              </w:rPr>
              <w:t>8</w:t>
            </w:r>
          </w:p>
        </w:tc>
        <w:tc>
          <w:tcPr>
            <w:tcW w:w="9505" w:type="dxa"/>
            <w:vAlign w:val="center"/>
          </w:tcPr>
          <w:p w14:paraId="5626A0CC" w14:textId="71728149" w:rsidR="00EA4346" w:rsidRPr="009B3767" w:rsidRDefault="00E66C06" w:rsidP="005B2B11">
            <w:pPr>
              <w:rPr>
                <w:sz w:val="28"/>
                <w:szCs w:val="28"/>
              </w:rPr>
            </w:pPr>
            <w:r w:rsidRPr="457068FA">
              <w:rPr>
                <w:sz w:val="28"/>
                <w:szCs w:val="28"/>
              </w:rPr>
              <w:t xml:space="preserve">Please confirm if you would be interested in voluntary participation in end-to-end testing as either a Supplier or RTI User. While we have proposed an obligation on Suppliers to support implementation through end-to-end testing in the REC TI Arrangements Schedule </w:t>
            </w:r>
            <w:r w:rsidR="00456BA1">
              <w:rPr>
                <w:sz w:val="28"/>
                <w:szCs w:val="28"/>
              </w:rPr>
              <w:t>(</w:t>
            </w:r>
            <w:r w:rsidRPr="457068FA">
              <w:rPr>
                <w:sz w:val="28"/>
                <w:szCs w:val="28"/>
              </w:rPr>
              <w:t>see paragraph 1.5(d) in Annex D</w:t>
            </w:r>
            <w:r w:rsidR="00456BA1">
              <w:rPr>
                <w:sz w:val="28"/>
                <w:szCs w:val="28"/>
              </w:rPr>
              <w:t>)</w:t>
            </w:r>
            <w:r w:rsidRPr="457068FA">
              <w:rPr>
                <w:sz w:val="28"/>
                <w:szCs w:val="28"/>
              </w:rPr>
              <w:t xml:space="preserve">, our preference is to work with a small number of volunteer Suppliers.  </w:t>
            </w:r>
          </w:p>
        </w:tc>
      </w:tr>
      <w:tr w:rsidR="00EA4346" w14:paraId="59C9C2FD" w14:textId="77777777" w:rsidTr="002F2787">
        <w:trPr>
          <w:trHeight w:val="5200"/>
        </w:trPr>
        <w:tc>
          <w:tcPr>
            <w:tcW w:w="10650" w:type="dxa"/>
            <w:gridSpan w:val="2"/>
          </w:tcPr>
          <w:p w14:paraId="770A1B64" w14:textId="77777777" w:rsidR="00EA4346" w:rsidRPr="009B3767" w:rsidRDefault="00EA4346" w:rsidP="002F2787">
            <w:pPr>
              <w:rPr>
                <w:b/>
                <w:bCs/>
                <w:sz w:val="28"/>
                <w:szCs w:val="28"/>
              </w:rPr>
            </w:pPr>
            <w:r>
              <w:rPr>
                <w:b/>
                <w:bCs/>
                <w:sz w:val="28"/>
                <w:szCs w:val="28"/>
              </w:rPr>
              <w:t>Response:</w:t>
            </w:r>
          </w:p>
        </w:tc>
      </w:tr>
    </w:tbl>
    <w:p w14:paraId="32CD7027" w14:textId="77777777" w:rsidR="00EA4346" w:rsidRPr="00DE16EC" w:rsidRDefault="00EA4346" w:rsidP="00E66C06">
      <w:pPr>
        <w:rPr>
          <w:b/>
          <w:bCs/>
          <w:sz w:val="28"/>
          <w:szCs w:val="28"/>
        </w:rPr>
      </w:pPr>
    </w:p>
    <w:sectPr w:rsidR="00EA4346" w:rsidRPr="00DE16EC" w:rsidSect="00DE16E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C2EF" w14:textId="77777777" w:rsidR="00DB14C1" w:rsidRDefault="00DB14C1" w:rsidP="002905E2">
      <w:pPr>
        <w:spacing w:after="0" w:line="240" w:lineRule="auto"/>
      </w:pPr>
      <w:r>
        <w:separator/>
      </w:r>
    </w:p>
  </w:endnote>
  <w:endnote w:type="continuationSeparator" w:id="0">
    <w:p w14:paraId="354969B8" w14:textId="77777777" w:rsidR="00DB14C1" w:rsidRDefault="00DB14C1" w:rsidP="0029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F565" w14:textId="4734985A" w:rsidR="00DF1BB7" w:rsidRDefault="00DF1BB7">
    <w:pPr>
      <w:pStyle w:val="Footer"/>
    </w:pPr>
    <w:r>
      <w:rPr>
        <w:noProof/>
      </w:rPr>
      <mc:AlternateContent>
        <mc:Choice Requires="wps">
          <w:drawing>
            <wp:anchor distT="0" distB="0" distL="0" distR="0" simplePos="0" relativeHeight="251658244" behindDoc="0" locked="0" layoutInCell="1" allowOverlap="1" wp14:anchorId="47C5A1F1" wp14:editId="4D81369B">
              <wp:simplePos x="635" y="635"/>
              <wp:positionH relativeFrom="page">
                <wp:align>center</wp:align>
              </wp:positionH>
              <wp:positionV relativeFrom="page">
                <wp:align>bottom</wp:align>
              </wp:positionV>
              <wp:extent cx="514350" cy="371475"/>
              <wp:effectExtent l="0" t="0" r="0" b="0"/>
              <wp:wrapNone/>
              <wp:docPr id="9620666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518430CB" w14:textId="5750B01D"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5A1F1" id="_x0000_t202" coordsize="21600,21600" o:spt="202" path="m,l,21600r21600,l21600,xe">
              <v:stroke joinstyle="miter"/>
              <v:path gradientshapeok="t" o:connecttype="rect"/>
            </v:shapetype>
            <v:shape id="Text Box 5" o:spid="_x0000_s1028" type="#_x0000_t202" alt="OFFICIAL" style="position:absolute;margin-left:0;margin-top:0;width:40.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EPpytoOAgAAHAQA&#10;AA4AAAAAAAAAAAAAAAAALgIAAGRycy9lMm9Eb2MueG1sUEsBAi0AFAAGAAgAAAAhAO10fZjZAAAA&#10;AwEAAA8AAAAAAAAAAAAAAAAAaAQAAGRycy9kb3ducmV2LnhtbFBLBQYAAAAABAAEAPMAAABuBQAA&#10;AAA=&#10;" filled="f" stroked="f">
              <v:textbox style="mso-fit-shape-to-text:t" inset="0,0,0,15pt">
                <w:txbxContent>
                  <w:p w14:paraId="518430CB" w14:textId="5750B01D"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18490"/>
      <w:docPartObj>
        <w:docPartGallery w:val="Page Numbers (Bottom of Page)"/>
        <w:docPartUnique/>
      </w:docPartObj>
    </w:sdtPr>
    <w:sdtContent>
      <w:p w14:paraId="72D11A35" w14:textId="1A9F1F1B" w:rsidR="00BF498C" w:rsidRDefault="00BF498C">
        <w:pPr>
          <w:pStyle w:val="Footer"/>
          <w:jc w:val="right"/>
        </w:pPr>
        <w:r>
          <w:fldChar w:fldCharType="begin"/>
        </w:r>
        <w:r>
          <w:instrText>PAGE   \* MERGEFORMAT</w:instrText>
        </w:r>
        <w:r>
          <w:fldChar w:fldCharType="separate"/>
        </w:r>
        <w:r w:rsidR="1AD1F835">
          <w:t>2</w:t>
        </w:r>
        <w:r>
          <w:fldChar w:fldCharType="end"/>
        </w:r>
      </w:p>
    </w:sdtContent>
  </w:sdt>
  <w:p w14:paraId="59556F09" w14:textId="7E5CE233" w:rsidR="002905E2" w:rsidRPr="002905E2" w:rsidRDefault="1AD1F835" w:rsidP="00FB4E5D">
    <w:pPr>
      <w:pStyle w:val="Footer"/>
      <w:ind w:left="-284"/>
    </w:pPr>
    <w:r>
      <w:rPr>
        <w:noProof/>
      </w:rPr>
      <w:drawing>
        <wp:inline distT="0" distB="0" distL="0" distR="0" wp14:anchorId="39E34439" wp14:editId="0F3F4C43">
          <wp:extent cx="1664352" cy="323116"/>
          <wp:effectExtent l="0" t="0" r="0" b="0"/>
          <wp:docPr id="10174776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77691" name="Picture 1017477691"/>
                  <pic:cNvPicPr/>
                </pic:nvPicPr>
                <pic:blipFill>
                  <a:blip r:embed="rId1">
                    <a:extLst>
                      <a:ext uri="{28A0092B-C50C-407E-A947-70E740481C1C}">
                        <a14:useLocalDpi xmlns:a14="http://schemas.microsoft.com/office/drawing/2010/main"/>
                      </a:ext>
                    </a:extLst>
                  </a:blip>
                  <a:stretch>
                    <a:fillRect/>
                  </a:stretch>
                </pic:blipFill>
                <pic:spPr>
                  <a:xfrm>
                    <a:off x="0" y="0"/>
                    <a:ext cx="1664352" cy="32311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6910" w14:textId="0F6DBCAC" w:rsidR="00DF1BB7" w:rsidRDefault="00DF1BB7">
    <w:pPr>
      <w:pStyle w:val="Footer"/>
    </w:pPr>
    <w:r>
      <w:rPr>
        <w:noProof/>
      </w:rPr>
      <mc:AlternateContent>
        <mc:Choice Requires="wps">
          <w:drawing>
            <wp:anchor distT="0" distB="0" distL="0" distR="0" simplePos="0" relativeHeight="251658243" behindDoc="0" locked="0" layoutInCell="1" allowOverlap="1" wp14:anchorId="7FEBC834" wp14:editId="6F32B8F0">
              <wp:simplePos x="635" y="635"/>
              <wp:positionH relativeFrom="page">
                <wp:align>center</wp:align>
              </wp:positionH>
              <wp:positionV relativeFrom="page">
                <wp:align>bottom</wp:align>
              </wp:positionV>
              <wp:extent cx="514350" cy="371475"/>
              <wp:effectExtent l="0" t="0" r="0" b="0"/>
              <wp:wrapNone/>
              <wp:docPr id="5687779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1D23AF7E" w14:textId="7D10239A"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EBC834" id="_x0000_t202" coordsize="21600,21600" o:spt="202" path="m,l,21600r21600,l21600,xe">
              <v:stroke joinstyle="miter"/>
              <v:path gradientshapeok="t" o:connecttype="rect"/>
            </v:shapetype>
            <v:shape id="Text Box 4" o:spid="_x0000_s1030" type="#_x0000_t202" alt="OFFICIAL" style="position:absolute;margin-left:0;margin-top:0;width:40.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" filled="f" stroked="f">
              <v:textbox style="mso-fit-shape-to-text:t" inset="0,0,0,15pt">
                <w:txbxContent>
                  <w:p w14:paraId="1D23AF7E" w14:textId="7D10239A"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4FF7" w14:textId="77777777" w:rsidR="00DB14C1" w:rsidRDefault="00DB14C1" w:rsidP="002905E2">
      <w:pPr>
        <w:spacing w:after="0" w:line="240" w:lineRule="auto"/>
      </w:pPr>
      <w:r>
        <w:separator/>
      </w:r>
    </w:p>
  </w:footnote>
  <w:footnote w:type="continuationSeparator" w:id="0">
    <w:p w14:paraId="510155A6" w14:textId="77777777" w:rsidR="00DB14C1" w:rsidRDefault="00DB14C1" w:rsidP="0029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7A53" w14:textId="22414A88" w:rsidR="00DF1BB7" w:rsidRDefault="00DF1BB7">
    <w:pPr>
      <w:pStyle w:val="Header"/>
    </w:pPr>
    <w:r>
      <w:rPr>
        <w:noProof/>
      </w:rPr>
      <mc:AlternateContent>
        <mc:Choice Requires="wps">
          <w:drawing>
            <wp:anchor distT="0" distB="0" distL="0" distR="0" simplePos="0" relativeHeight="251658241" behindDoc="0" locked="0" layoutInCell="1" allowOverlap="1" wp14:anchorId="3DD51A40" wp14:editId="2CF9D813">
              <wp:simplePos x="635" y="635"/>
              <wp:positionH relativeFrom="page">
                <wp:align>center</wp:align>
              </wp:positionH>
              <wp:positionV relativeFrom="page">
                <wp:align>top</wp:align>
              </wp:positionV>
              <wp:extent cx="514350" cy="371475"/>
              <wp:effectExtent l="0" t="0" r="0" b="9525"/>
              <wp:wrapNone/>
              <wp:docPr id="8238187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15307DB9" w14:textId="0053E160"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51A40" id="_x0000_t202" coordsize="21600,21600" o:spt="202" path="m,l,21600r21600,l21600,xe">
              <v:stroke joinstyle="miter"/>
              <v:path gradientshapeok="t" o:connecttype="rect"/>
            </v:shapetype>
            <v:shape id="Text Box 2" o:spid="_x0000_s1026" type="#_x0000_t202" alt="OFFICIAL" style="position:absolute;margin-left:0;margin-top:0;width:40.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" filled="f" stroked="f">
              <v:textbox style="mso-fit-shape-to-text:t" inset="0,15pt,0,0">
                <w:txbxContent>
                  <w:p w14:paraId="15307DB9" w14:textId="0053E160"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A660" w14:textId="2C7F0E0A" w:rsidR="002905E2" w:rsidRDefault="00DF1BB7" w:rsidP="00FB4E5D">
    <w:pPr>
      <w:pStyle w:val="Header"/>
      <w:ind w:left="-284"/>
    </w:pPr>
    <w:r>
      <w:rPr>
        <w:noProof/>
      </w:rPr>
      <mc:AlternateContent>
        <mc:Choice Requires="wps">
          <w:drawing>
            <wp:anchor distT="0" distB="0" distL="0" distR="0" simplePos="0" relativeHeight="251658242" behindDoc="0" locked="0" layoutInCell="1" allowOverlap="1" wp14:anchorId="214A504E" wp14:editId="30334AF2">
              <wp:simplePos x="635" y="635"/>
              <wp:positionH relativeFrom="page">
                <wp:align>center</wp:align>
              </wp:positionH>
              <wp:positionV relativeFrom="page">
                <wp:align>top</wp:align>
              </wp:positionV>
              <wp:extent cx="514350" cy="371475"/>
              <wp:effectExtent l="0" t="0" r="0" b="9525"/>
              <wp:wrapNone/>
              <wp:docPr id="773710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54709C9D" w14:textId="7F3505FA"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A504E" id="_x0000_t202" coordsize="21600,21600" o:spt="202" path="m,l,21600r21600,l21600,xe">
              <v:stroke joinstyle="miter"/>
              <v:path gradientshapeok="t" o:connecttype="rect"/>
            </v:shapetype>
            <v:shape id="Text Box 3" o:spid="_x0000_s1027" type="#_x0000_t202" alt="OFFICIAL" style="position:absolute;left:0;text-align:left;margin-left:0;margin-top:0;width:40.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" filled="f" stroked="f">
              <v:textbox style="mso-fit-shape-to-text:t" inset="0,15pt,0,0">
                <w:txbxContent>
                  <w:p w14:paraId="54709C9D" w14:textId="7F3505FA"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v:textbox>
              <w10:wrap anchorx="page" anchory="page"/>
            </v:shape>
          </w:pict>
        </mc:Fallback>
      </mc:AlternateContent>
    </w:r>
    <w:r w:rsidR="002905E2">
      <w:rPr>
        <w:noProof/>
      </w:rPr>
      <w:drawing>
        <wp:inline distT="0" distB="0" distL="0" distR="0" wp14:anchorId="4F669E8C" wp14:editId="2EDD4D5B">
          <wp:extent cx="1155701" cy="756208"/>
          <wp:effectExtent l="0" t="0" r="0" b="6350"/>
          <wp:docPr id="2" name="drawing" descr="A logo with text on it">
            <a:extLst xmlns:a="http://schemas.openxmlformats.org/drawingml/2006/main">
              <a:ext uri="{FF2B5EF4-FFF2-40B4-BE49-F238E27FC236}">
                <a16:creationId xmlns:a16="http://schemas.microsoft.com/office/drawing/2014/main" id="{8EACC14B-4857-CE13-2ECD-2CF9383177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descr="A logo with text on it">
                    <a:extLst>
                      <a:ext uri="{FF2B5EF4-FFF2-40B4-BE49-F238E27FC236}">
                        <a16:creationId xmlns:a16="http://schemas.microsoft.com/office/drawing/2014/main" id="{8EACC14B-4857-CE13-2ECD-2CF9383177A2}"/>
                      </a:ext>
                    </a:extLst>
                  </pic:cNvPr>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0" y="0"/>
                    <a:ext cx="1155701" cy="756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1D8C" w14:textId="26B47BF6" w:rsidR="00DF1BB7" w:rsidRDefault="00DF1BB7">
    <w:pPr>
      <w:pStyle w:val="Header"/>
    </w:pPr>
    <w:r>
      <w:rPr>
        <w:noProof/>
      </w:rPr>
      <mc:AlternateContent>
        <mc:Choice Requires="wps">
          <w:drawing>
            <wp:anchor distT="0" distB="0" distL="0" distR="0" simplePos="0" relativeHeight="251658240" behindDoc="0" locked="0" layoutInCell="1" allowOverlap="1" wp14:anchorId="75044D54" wp14:editId="7C7D5B8A">
              <wp:simplePos x="635" y="635"/>
              <wp:positionH relativeFrom="page">
                <wp:align>center</wp:align>
              </wp:positionH>
              <wp:positionV relativeFrom="page">
                <wp:align>top</wp:align>
              </wp:positionV>
              <wp:extent cx="514350" cy="371475"/>
              <wp:effectExtent l="0" t="0" r="0" b="9525"/>
              <wp:wrapNone/>
              <wp:docPr id="18989878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71475"/>
                      </a:xfrm>
                      <a:prstGeom prst="rect">
                        <a:avLst/>
                      </a:prstGeom>
                      <a:noFill/>
                      <a:ln>
                        <a:noFill/>
                      </a:ln>
                    </wps:spPr>
                    <wps:txbx>
                      <w:txbxContent>
                        <w:p w14:paraId="01D95F10" w14:textId="0B20983F"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44D54" id="_x0000_t202" coordsize="21600,21600" o:spt="202" path="m,l,21600r21600,l21600,xe">
              <v:stroke joinstyle="miter"/>
              <v:path gradientshapeok="t" o:connecttype="rect"/>
            </v:shapetype>
            <v:shape id="Text Box 1" o:spid="_x0000_s1029" type="#_x0000_t202" alt="OFFICIAL" style="position:absolute;margin-left:0;margin-top:0;width:40.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" filled="f" stroked="f">
              <v:textbox style="mso-fit-shape-to-text:t" inset="0,15pt,0,0">
                <w:txbxContent>
                  <w:p w14:paraId="01D95F10" w14:textId="0B20983F" w:rsidR="00DF1BB7" w:rsidRPr="00DF1BB7" w:rsidRDefault="00DF1BB7" w:rsidP="00DF1BB7">
                    <w:pPr>
                      <w:spacing w:after="0"/>
                      <w:rPr>
                        <w:rFonts w:ascii="Aptos" w:eastAsia="Aptos" w:hAnsi="Aptos" w:cs="Aptos"/>
                        <w:noProof/>
                        <w:color w:val="000000"/>
                        <w:sz w:val="20"/>
                        <w:szCs w:val="20"/>
                      </w:rPr>
                    </w:pPr>
                    <w:r w:rsidRPr="00DF1BB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51208"/>
    <w:multiLevelType w:val="hybridMultilevel"/>
    <w:tmpl w:val="CD3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11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58D3D9"/>
    <w:rsid w:val="000050A4"/>
    <w:rsid w:val="00014882"/>
    <w:rsid w:val="00022652"/>
    <w:rsid w:val="00030730"/>
    <w:rsid w:val="00043994"/>
    <w:rsid w:val="00083425"/>
    <w:rsid w:val="00084054"/>
    <w:rsid w:val="00090AEF"/>
    <w:rsid w:val="00097848"/>
    <w:rsid w:val="000A3D20"/>
    <w:rsid w:val="000B0010"/>
    <w:rsid w:val="000B1DF4"/>
    <w:rsid w:val="000C4912"/>
    <w:rsid w:val="000C7DD5"/>
    <w:rsid w:val="000D0D2C"/>
    <w:rsid w:val="000D2B22"/>
    <w:rsid w:val="000D4A07"/>
    <w:rsid w:val="000D6508"/>
    <w:rsid w:val="000E572B"/>
    <w:rsid w:val="000E718E"/>
    <w:rsid w:val="00102A88"/>
    <w:rsid w:val="0012217D"/>
    <w:rsid w:val="001643CB"/>
    <w:rsid w:val="00183E8F"/>
    <w:rsid w:val="0018416D"/>
    <w:rsid w:val="001A4EAA"/>
    <w:rsid w:val="001B00CB"/>
    <w:rsid w:val="001C4EAA"/>
    <w:rsid w:val="001D0670"/>
    <w:rsid w:val="001D6E23"/>
    <w:rsid w:val="001E2551"/>
    <w:rsid w:val="001E2D5D"/>
    <w:rsid w:val="001E3161"/>
    <w:rsid w:val="00220FBB"/>
    <w:rsid w:val="00227093"/>
    <w:rsid w:val="00234FE0"/>
    <w:rsid w:val="002407C2"/>
    <w:rsid w:val="00241280"/>
    <w:rsid w:val="00247011"/>
    <w:rsid w:val="00260E0A"/>
    <w:rsid w:val="00275173"/>
    <w:rsid w:val="00275C24"/>
    <w:rsid w:val="00284326"/>
    <w:rsid w:val="00285E94"/>
    <w:rsid w:val="002905E2"/>
    <w:rsid w:val="002A6FF9"/>
    <w:rsid w:val="002C5F8E"/>
    <w:rsid w:val="002D01F9"/>
    <w:rsid w:val="002D3283"/>
    <w:rsid w:val="002E0169"/>
    <w:rsid w:val="002E4599"/>
    <w:rsid w:val="002E798A"/>
    <w:rsid w:val="002F2787"/>
    <w:rsid w:val="002F3125"/>
    <w:rsid w:val="0030525E"/>
    <w:rsid w:val="0031065E"/>
    <w:rsid w:val="00316DEC"/>
    <w:rsid w:val="00320DF1"/>
    <w:rsid w:val="003509A9"/>
    <w:rsid w:val="00363C6C"/>
    <w:rsid w:val="00395BDA"/>
    <w:rsid w:val="003C5088"/>
    <w:rsid w:val="003C54B6"/>
    <w:rsid w:val="003C5793"/>
    <w:rsid w:val="003C5FF5"/>
    <w:rsid w:val="003C6372"/>
    <w:rsid w:val="004216F2"/>
    <w:rsid w:val="00427580"/>
    <w:rsid w:val="004331A6"/>
    <w:rsid w:val="00436458"/>
    <w:rsid w:val="004522D2"/>
    <w:rsid w:val="00455279"/>
    <w:rsid w:val="00456BA1"/>
    <w:rsid w:val="004616F7"/>
    <w:rsid w:val="0048227B"/>
    <w:rsid w:val="00483CD7"/>
    <w:rsid w:val="004A379C"/>
    <w:rsid w:val="004B427A"/>
    <w:rsid w:val="004D7CFD"/>
    <w:rsid w:val="004E35B8"/>
    <w:rsid w:val="00502A3D"/>
    <w:rsid w:val="005151F4"/>
    <w:rsid w:val="005373DC"/>
    <w:rsid w:val="005805DC"/>
    <w:rsid w:val="00591F8D"/>
    <w:rsid w:val="00595942"/>
    <w:rsid w:val="005976A8"/>
    <w:rsid w:val="005A3973"/>
    <w:rsid w:val="005B2B11"/>
    <w:rsid w:val="005B62D4"/>
    <w:rsid w:val="005C33F4"/>
    <w:rsid w:val="005F558F"/>
    <w:rsid w:val="00602A7F"/>
    <w:rsid w:val="00610B2E"/>
    <w:rsid w:val="0063672C"/>
    <w:rsid w:val="006428C8"/>
    <w:rsid w:val="00653DD4"/>
    <w:rsid w:val="00654CFC"/>
    <w:rsid w:val="00665384"/>
    <w:rsid w:val="00672137"/>
    <w:rsid w:val="006A2BE9"/>
    <w:rsid w:val="006C1F0C"/>
    <w:rsid w:val="006C4BF5"/>
    <w:rsid w:val="006D5E10"/>
    <w:rsid w:val="006F1062"/>
    <w:rsid w:val="006F2B89"/>
    <w:rsid w:val="00705797"/>
    <w:rsid w:val="00714655"/>
    <w:rsid w:val="00742BDA"/>
    <w:rsid w:val="00755071"/>
    <w:rsid w:val="0076038A"/>
    <w:rsid w:val="00763385"/>
    <w:rsid w:val="00764B16"/>
    <w:rsid w:val="0076606D"/>
    <w:rsid w:val="00782C1B"/>
    <w:rsid w:val="007846A4"/>
    <w:rsid w:val="00787222"/>
    <w:rsid w:val="00787CDB"/>
    <w:rsid w:val="007A1104"/>
    <w:rsid w:val="007B200D"/>
    <w:rsid w:val="008152E0"/>
    <w:rsid w:val="00865478"/>
    <w:rsid w:val="00871E7A"/>
    <w:rsid w:val="0087707C"/>
    <w:rsid w:val="008B63CE"/>
    <w:rsid w:val="008D5C89"/>
    <w:rsid w:val="008F0C7B"/>
    <w:rsid w:val="00915C92"/>
    <w:rsid w:val="009318CE"/>
    <w:rsid w:val="009428D6"/>
    <w:rsid w:val="00942A23"/>
    <w:rsid w:val="00961E70"/>
    <w:rsid w:val="00967EAD"/>
    <w:rsid w:val="00976FA9"/>
    <w:rsid w:val="009770BA"/>
    <w:rsid w:val="0098103A"/>
    <w:rsid w:val="00993066"/>
    <w:rsid w:val="00994754"/>
    <w:rsid w:val="00996B62"/>
    <w:rsid w:val="009A0843"/>
    <w:rsid w:val="009B3767"/>
    <w:rsid w:val="009B3F41"/>
    <w:rsid w:val="009C5488"/>
    <w:rsid w:val="009E493C"/>
    <w:rsid w:val="009F0993"/>
    <w:rsid w:val="009F3D67"/>
    <w:rsid w:val="009F760B"/>
    <w:rsid w:val="00A051CD"/>
    <w:rsid w:val="00A331F2"/>
    <w:rsid w:val="00A50D08"/>
    <w:rsid w:val="00A53C8B"/>
    <w:rsid w:val="00A636E5"/>
    <w:rsid w:val="00A73A45"/>
    <w:rsid w:val="00A87488"/>
    <w:rsid w:val="00A8790E"/>
    <w:rsid w:val="00A91CD0"/>
    <w:rsid w:val="00AC20F2"/>
    <w:rsid w:val="00AC62EE"/>
    <w:rsid w:val="00AD672E"/>
    <w:rsid w:val="00AF211B"/>
    <w:rsid w:val="00AF4E2A"/>
    <w:rsid w:val="00AF7CD9"/>
    <w:rsid w:val="00B35300"/>
    <w:rsid w:val="00B43BFA"/>
    <w:rsid w:val="00B55F03"/>
    <w:rsid w:val="00B62BE8"/>
    <w:rsid w:val="00B67AC3"/>
    <w:rsid w:val="00B95125"/>
    <w:rsid w:val="00B97FA9"/>
    <w:rsid w:val="00BA1814"/>
    <w:rsid w:val="00BA6F0D"/>
    <w:rsid w:val="00BC315C"/>
    <w:rsid w:val="00BD31EF"/>
    <w:rsid w:val="00BD39E8"/>
    <w:rsid w:val="00BD4A2B"/>
    <w:rsid w:val="00BD7194"/>
    <w:rsid w:val="00BE19F9"/>
    <w:rsid w:val="00BE3993"/>
    <w:rsid w:val="00BF498C"/>
    <w:rsid w:val="00C0723F"/>
    <w:rsid w:val="00C1047B"/>
    <w:rsid w:val="00C15B69"/>
    <w:rsid w:val="00C40837"/>
    <w:rsid w:val="00C43D3B"/>
    <w:rsid w:val="00C50B44"/>
    <w:rsid w:val="00C531D8"/>
    <w:rsid w:val="00C54BF7"/>
    <w:rsid w:val="00C64F0B"/>
    <w:rsid w:val="00C72C0A"/>
    <w:rsid w:val="00CA3A61"/>
    <w:rsid w:val="00CA4B5B"/>
    <w:rsid w:val="00CB5FFB"/>
    <w:rsid w:val="00CB769E"/>
    <w:rsid w:val="00CC4967"/>
    <w:rsid w:val="00CF272F"/>
    <w:rsid w:val="00D03B74"/>
    <w:rsid w:val="00D05349"/>
    <w:rsid w:val="00D16461"/>
    <w:rsid w:val="00D64C28"/>
    <w:rsid w:val="00D66056"/>
    <w:rsid w:val="00D92AC7"/>
    <w:rsid w:val="00D92D10"/>
    <w:rsid w:val="00DA1152"/>
    <w:rsid w:val="00DA335A"/>
    <w:rsid w:val="00DB0740"/>
    <w:rsid w:val="00DB1454"/>
    <w:rsid w:val="00DB14C1"/>
    <w:rsid w:val="00DB692C"/>
    <w:rsid w:val="00DC6923"/>
    <w:rsid w:val="00DE16EC"/>
    <w:rsid w:val="00DF1BB7"/>
    <w:rsid w:val="00DF62EF"/>
    <w:rsid w:val="00DF6F90"/>
    <w:rsid w:val="00E039A6"/>
    <w:rsid w:val="00E14D16"/>
    <w:rsid w:val="00E21386"/>
    <w:rsid w:val="00E41A11"/>
    <w:rsid w:val="00E42B1B"/>
    <w:rsid w:val="00E46AF5"/>
    <w:rsid w:val="00E50A9F"/>
    <w:rsid w:val="00E51375"/>
    <w:rsid w:val="00E65202"/>
    <w:rsid w:val="00E66C06"/>
    <w:rsid w:val="00E7012A"/>
    <w:rsid w:val="00E8341C"/>
    <w:rsid w:val="00E84515"/>
    <w:rsid w:val="00E91326"/>
    <w:rsid w:val="00E91CBA"/>
    <w:rsid w:val="00EA0EEA"/>
    <w:rsid w:val="00EA1253"/>
    <w:rsid w:val="00EA14F5"/>
    <w:rsid w:val="00EA4346"/>
    <w:rsid w:val="00EB26CF"/>
    <w:rsid w:val="00EB3376"/>
    <w:rsid w:val="00EB4F16"/>
    <w:rsid w:val="00EB644F"/>
    <w:rsid w:val="00ED3696"/>
    <w:rsid w:val="00F00FE4"/>
    <w:rsid w:val="00F02017"/>
    <w:rsid w:val="00F0236C"/>
    <w:rsid w:val="00F104AB"/>
    <w:rsid w:val="00F11D3B"/>
    <w:rsid w:val="00F22BFF"/>
    <w:rsid w:val="00F44230"/>
    <w:rsid w:val="00F5237D"/>
    <w:rsid w:val="00F54590"/>
    <w:rsid w:val="00F940F2"/>
    <w:rsid w:val="00F965E2"/>
    <w:rsid w:val="00F97F59"/>
    <w:rsid w:val="00FA568B"/>
    <w:rsid w:val="00FB4E5D"/>
    <w:rsid w:val="00FB5C6C"/>
    <w:rsid w:val="00FB746C"/>
    <w:rsid w:val="00FC3D51"/>
    <w:rsid w:val="00FE246C"/>
    <w:rsid w:val="00FE6F59"/>
    <w:rsid w:val="00FF77B1"/>
    <w:rsid w:val="0670D664"/>
    <w:rsid w:val="068E6BD3"/>
    <w:rsid w:val="0769AEDF"/>
    <w:rsid w:val="0FC8DCD8"/>
    <w:rsid w:val="108B0752"/>
    <w:rsid w:val="11EBE638"/>
    <w:rsid w:val="166E5016"/>
    <w:rsid w:val="1918E556"/>
    <w:rsid w:val="1AD1F835"/>
    <w:rsid w:val="1D2EBADC"/>
    <w:rsid w:val="1F8EAC2E"/>
    <w:rsid w:val="2AA9692E"/>
    <w:rsid w:val="2E59880E"/>
    <w:rsid w:val="32A66B1B"/>
    <w:rsid w:val="357C6141"/>
    <w:rsid w:val="391ACDE0"/>
    <w:rsid w:val="3AAF6808"/>
    <w:rsid w:val="3C0D064D"/>
    <w:rsid w:val="3D56E3BD"/>
    <w:rsid w:val="3DD1CF5F"/>
    <w:rsid w:val="3EB3E768"/>
    <w:rsid w:val="406556A7"/>
    <w:rsid w:val="4492149C"/>
    <w:rsid w:val="457068FA"/>
    <w:rsid w:val="4973046E"/>
    <w:rsid w:val="49D8B977"/>
    <w:rsid w:val="4C392457"/>
    <w:rsid w:val="54A24D85"/>
    <w:rsid w:val="55E1A595"/>
    <w:rsid w:val="5B39E3C2"/>
    <w:rsid w:val="5C743551"/>
    <w:rsid w:val="672B38CF"/>
    <w:rsid w:val="6BAC1CD9"/>
    <w:rsid w:val="7158D3D9"/>
    <w:rsid w:val="7760B2BA"/>
    <w:rsid w:val="7AF90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2692"/>
  <w15:chartTrackingRefBased/>
  <w15:docId w15:val="{A3A54A7C-0CE4-F741-A94C-63EAF8F6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5E2"/>
  </w:style>
  <w:style w:type="paragraph" w:styleId="Footer">
    <w:name w:val="footer"/>
    <w:basedOn w:val="Normal"/>
    <w:link w:val="FooterChar"/>
    <w:uiPriority w:val="99"/>
    <w:unhideWhenUsed/>
    <w:rsid w:val="0029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5E2"/>
  </w:style>
  <w:style w:type="character" w:styleId="Hyperlink">
    <w:name w:val="Hyperlink"/>
    <w:basedOn w:val="DefaultParagraphFont"/>
    <w:uiPriority w:val="99"/>
    <w:unhideWhenUsed/>
    <w:rsid w:val="002905E2"/>
    <w:rPr>
      <w:color w:val="467886" w:themeColor="hyperlink"/>
      <w:u w:val="single"/>
    </w:rPr>
  </w:style>
  <w:style w:type="character" w:styleId="UnresolvedMention">
    <w:name w:val="Unresolved Mention"/>
    <w:basedOn w:val="DefaultParagraphFont"/>
    <w:uiPriority w:val="99"/>
    <w:semiHidden/>
    <w:unhideWhenUsed/>
    <w:rsid w:val="002905E2"/>
    <w:rPr>
      <w:color w:val="605E5C"/>
      <w:shd w:val="clear" w:color="auto" w:fill="E1DFDD"/>
    </w:rPr>
  </w:style>
  <w:style w:type="paragraph" w:styleId="ListParagraph">
    <w:name w:val="List Paragraph"/>
    <w:basedOn w:val="Normal"/>
    <w:uiPriority w:val="34"/>
    <w:qFormat/>
    <w:rsid w:val="00DE16EC"/>
    <w:pPr>
      <w:ind w:left="720"/>
      <w:contextualSpacing/>
    </w:pPr>
  </w:style>
  <w:style w:type="table" w:styleId="TableGrid">
    <w:name w:val="Table Grid"/>
    <w:basedOn w:val="TableNormal"/>
    <w:uiPriority w:val="39"/>
    <w:rsid w:val="00DE1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B4E5D"/>
    <w:pPr>
      <w:spacing w:after="0" w:line="240" w:lineRule="auto"/>
    </w:pPr>
  </w:style>
  <w:style w:type="paragraph" w:styleId="CommentSubject">
    <w:name w:val="annotation subject"/>
    <w:basedOn w:val="CommentText"/>
    <w:next w:val="CommentText"/>
    <w:link w:val="CommentSubjectChar"/>
    <w:uiPriority w:val="99"/>
    <w:semiHidden/>
    <w:unhideWhenUsed/>
    <w:rsid w:val="00FB4E5D"/>
    <w:rPr>
      <w:b/>
      <w:bCs/>
    </w:rPr>
  </w:style>
  <w:style w:type="character" w:customStyle="1" w:styleId="CommentSubjectChar">
    <w:name w:val="Comment Subject Char"/>
    <w:basedOn w:val="CommentTextChar"/>
    <w:link w:val="CommentSubject"/>
    <w:uiPriority w:val="99"/>
    <w:semiHidden/>
    <w:rsid w:val="00FB4E5D"/>
    <w:rPr>
      <w:b/>
      <w:bCs/>
      <w:sz w:val="20"/>
      <w:szCs w:val="20"/>
    </w:rPr>
  </w:style>
  <w:style w:type="character" w:styleId="Mention">
    <w:name w:val="Mention"/>
    <w:basedOn w:val="DefaultParagraphFont"/>
    <w:uiPriority w:val="99"/>
    <w:unhideWhenUsed/>
    <w:rsid w:val="00B55F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iffinteroperability@retailenergycod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ES.Interoperability@energysecurity.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a513e0-a3f0-40b5-b1dc-f609214b74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20C90A991424FA7C70C57E72EF65B" ma:contentTypeVersion="17" ma:contentTypeDescription="Create a new document." ma:contentTypeScope="" ma:versionID="883ba6dd805652041cc8ac7aab492018">
  <xsd:schema xmlns:xsd="http://www.w3.org/2001/XMLSchema" xmlns:xs="http://www.w3.org/2001/XMLSchema" xmlns:p="http://schemas.microsoft.com/office/2006/metadata/properties" xmlns:ns2="6717a2b9-33e4-4b6e-b53c-dc44d9eddd4a" xmlns:ns3="faa513e0-a3f0-40b5-b1dc-f609214b744d" targetNamespace="http://schemas.microsoft.com/office/2006/metadata/properties" ma:root="true" ma:fieldsID="2dd92506ac090c5800c21f314675e795" ns2:_="" ns3:_="">
    <xsd:import namespace="6717a2b9-33e4-4b6e-b53c-dc44d9eddd4a"/>
    <xsd:import namespace="faa513e0-a3f0-40b5-b1dc-f609214b7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7a2b9-33e4-4b6e-b53c-dc44d9eddd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513e0-a3f0-40b5-b1dc-f609214b7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99b72c-b327-4ee5-b04e-550fbd06a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FEC51EF2804FC408AEAFE200E37E471" ma:contentTypeVersion="26" ma:contentTypeDescription="Create a new document." ma:contentTypeScope="" ma:versionID="73c71dd98dc3fbdd9a589c036eab96d1">
  <xsd:schema xmlns:xsd="http://www.w3.org/2001/XMLSchema" xmlns:xs="http://www.w3.org/2001/XMLSchema" xmlns:p="http://schemas.microsoft.com/office/2006/metadata/properties" xmlns:ns1="http://schemas.microsoft.com/sharepoint/v3" xmlns:ns2="0f9fa326-da26-4ea8-b6a9-645e8136fe1d" xmlns:ns3="5ac7ee52-150b-4d3d-bb04-5bac3e81cb51" xmlns:ns4="aaacb922-5235-4a66-b188-303b9b46fbd7" xmlns:ns5="e3ef3017-2d26-4626-9cba-746a6fbdddaa" targetNamespace="http://schemas.microsoft.com/office/2006/metadata/properties" ma:root="true" ma:fieldsID="f79bdba86ab963828266641d1406ca68" ns1:_="" ns2:_="" ns3:_="" ns4:_="" ns5:_="">
    <xsd:import namespace="http://schemas.microsoft.com/sharepoint/v3"/>
    <xsd:import namespace="0f9fa326-da26-4ea8-b6a9-645e8136fe1d"/>
    <xsd:import namespace="5ac7ee52-150b-4d3d-bb04-5bac3e81cb51"/>
    <xsd:import namespace="aaacb922-5235-4a66-b188-303b9b46fbd7"/>
    <xsd:import namespace="e3ef3017-2d26-4626-9cba-746a6fbdddaa"/>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element ref="ns3:SharedWithUsers" minOccurs="0"/>
                <xsd:element ref="ns3:SharedWithDetails" minOccurs="0"/>
                <xsd:element ref="ns5:MediaServiceLocation" minOccurs="0"/>
                <xsd:element ref="ns1:_ip_UnifiedCompliancePolicyProperties" minOccurs="0"/>
                <xsd:element ref="ns1:_ip_UnifiedCompliancePolicyUIAction" minOccurs="0"/>
                <xsd:element ref="ns5:EmailFrom" minOccurs="0"/>
                <xsd:element ref="ns5:Date" minOccurs="0"/>
                <xsd:element ref="ns5:MediaServiceBillingMetadata" minOccurs="0"/>
                <xsd:element ref="ns5: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Electricity Systems|acdf5bab-4ca5-1b6b-457d-04fe2fa8a1ba"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c7ee52-150b-4d3d-bb04-5bac3e81cb5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4cb857-b375-4f64-914b-f5942e30c612}" ma:internalName="TaxCatchAll" ma:showField="CatchAllData" ma:web="5ac7ee52-150b-4d3d-bb04-5bac3e81cb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4cb857-b375-4f64-914b-f5942e30c612}" ma:internalName="TaxCatchAllLabel" ma:readOnly="true" ma:showField="CatchAllDataLabel" ma:web="5ac7ee52-150b-4d3d-bb04-5bac3e81cb5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f3017-2d26-4626-9cba-746a6fbddda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element name="EmailFrom" ma:index="36" nillable="true" ma:displayName="EmailFrom" ma:format="Dropdown" ma:internalName="EmailFrom">
      <xsd:simpleType>
        <xsd:restriction base="dms:Text">
          <xsd:maxLength value="255"/>
        </xsd:restriction>
      </xsd:simpleType>
    </xsd:element>
    <xsd:element name="Date" ma:index="37" nillable="true" ma:displayName="Date" ma:format="DateTime" ma:indexed="true" ma:internalName="Date" ma:readOnly="false">
      <xsd:simpleType>
        <xsd:restriction base="dms:DateTime"/>
      </xsd:simpleType>
    </xsd:element>
    <xsd:element name="MediaServiceBillingMetadata" ma:index="38" nillable="true" ma:displayName="MediaServiceBillingMetadata" ma:hidden="true" ma:internalName="MediaServiceBillingMetadata" ma:readOnly="true">
      <xsd:simpleType>
        <xsd:restriction base="dms:Note"/>
      </xsd:simpleType>
    </xsd:element>
    <xsd:element name="DATETIME" ma:index="39" nillable="true" ma:displayName="DATE TIME" ma:format="DateTime" ma:internalName="DATETIM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81524-55A2-4F0F-96AA-A51C07B7DE28}">
  <ds:schemaRefs>
    <ds:schemaRef ds:uri="http://schemas.microsoft.com/office/2006/metadata/properties"/>
    <ds:schemaRef ds:uri="http://schemas.microsoft.com/office/infopath/2007/PartnerControls"/>
    <ds:schemaRef ds:uri="5ac7ee52-150b-4d3d-bb04-5bac3e81cb51"/>
    <ds:schemaRef ds:uri="e3ef3017-2d26-4626-9cba-746a6fbdddaa"/>
    <ds:schemaRef ds:uri="0f9fa326-da26-4ea8-b6a9-645e8136fe1d"/>
    <ds:schemaRef ds:uri="aaacb922-5235-4a66-b188-303b9b46fbd7"/>
    <ds:schemaRef ds:uri="http://schemas.microsoft.com/sharepoint/v3"/>
  </ds:schemaRefs>
</ds:datastoreItem>
</file>

<file path=customXml/itemProps2.xml><?xml version="1.0" encoding="utf-8"?>
<ds:datastoreItem xmlns:ds="http://schemas.openxmlformats.org/officeDocument/2006/customXml" ds:itemID="{10457808-88D8-4811-8D46-5C8547A85D53}"/>
</file>

<file path=customXml/itemProps3.xml><?xml version="1.0" encoding="utf-8"?>
<ds:datastoreItem xmlns:ds="http://schemas.openxmlformats.org/officeDocument/2006/customXml" ds:itemID="{F49F48D0-7A64-4E7D-A5FE-5A23541459B8}">
  <ds:schemaRefs>
    <ds:schemaRef ds:uri="http://schemas.microsoft.com/sharepoint/v3/contenttype/forms"/>
  </ds:schemaRefs>
</ds:datastoreItem>
</file>

<file path=customXml/itemProps4.xml><?xml version="1.0" encoding="utf-8"?>
<ds:datastoreItem xmlns:ds="http://schemas.openxmlformats.org/officeDocument/2006/customXml" ds:itemID="{DD8F1CBE-EEDD-4EBE-A0E4-FAB274641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5ac7ee52-150b-4d3d-bb04-5bac3e81cb51"/>
    <ds:schemaRef ds:uri="aaacb922-5235-4a66-b188-303b9b46fbd7"/>
    <ds:schemaRef ds:uri="e3ef3017-2d26-4626-9cba-746a6fbdd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Privilege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Redmond</dc:creator>
  <cp:keywords/>
  <dc:description/>
  <cp:lastModifiedBy>Paul Crorken</cp:lastModifiedBy>
  <cp:revision>4</cp:revision>
  <dcterms:created xsi:type="dcterms:W3CDTF">2025-11-25T12:02:00Z</dcterms:created>
  <dcterms:modified xsi:type="dcterms:W3CDTF">2025-11-25T14:52:00Z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0x01010056D20C90A991424FA7C70C57E72EF65B</vt:lpwstr>
  </property>
  <property fmtid="{D5CDD505-2E9C-101B-9397-08002B2CF9AE}" pid="3" name="MediaServiceImageTags">
    <vt:lpwstr/>
  </property>
  <property fmtid="{D5CDD505-2E9C-101B-9397-08002B2CF9AE}" pid="4" name="MSIP_Label_fc8b966b-aada-4efd-a992-0185a2b1840f_Enabled">
    <vt:lpwstr>true</vt:lpwstr>
  </property>
  <property fmtid="{D5CDD505-2E9C-101B-9397-08002B2CF9AE}" pid="5" name="MSIP_Label_fc8b966b-aada-4efd-a992-0185a2b1840f_SetDate">
    <vt:lpwstr>2025-11-17T15:11:13Z</vt:lpwstr>
  </property>
  <property fmtid="{D5CDD505-2E9C-101B-9397-08002B2CF9AE}" pid="6" name="MSIP_Label_fc8b966b-aada-4efd-a992-0185a2b1840f_Method">
    <vt:lpwstr>Privileged</vt:lpwstr>
  </property>
  <property fmtid="{D5CDD505-2E9C-101B-9397-08002B2CF9AE}" pid="7" name="MSIP_Label_fc8b966b-aada-4efd-a992-0185a2b1840f_Name">
    <vt:lpwstr>Public</vt:lpwstr>
  </property>
  <property fmtid="{D5CDD505-2E9C-101B-9397-08002B2CF9AE}" pid="8" name="MSIP_Label_fc8b966b-aada-4efd-a992-0185a2b1840f_SiteId">
    <vt:lpwstr>f59e1ee2-6e37-44df-b088-2e81f9d1b201</vt:lpwstr>
  </property>
  <property fmtid="{D5CDD505-2E9C-101B-9397-08002B2CF9AE}" pid="9" name="MSIP_Label_fc8b966b-aada-4efd-a992-0185a2b1840f_ActionId">
    <vt:lpwstr>70f1b15f-cdb0-46b4-b656-533cc9b7c1af</vt:lpwstr>
  </property>
  <property fmtid="{D5CDD505-2E9C-101B-9397-08002B2CF9AE}" pid="10" name="MSIP_Label_fc8b966b-aada-4efd-a992-0185a2b1840f_ContentBits">
    <vt:lpwstr>0</vt:lpwstr>
  </property>
  <property fmtid="{D5CDD505-2E9C-101B-9397-08002B2CF9AE}" pid="11" name="MSIP_Label_fc8b966b-aada-4efd-a992-0185a2b1840f_Tag">
    <vt:lpwstr>10, 0, 1, 2</vt:lpwstr>
  </property>
  <property fmtid="{D5CDD505-2E9C-101B-9397-08002B2CF9AE}" pid="12" name="KIM_Activity">
    <vt:lpwstr>2;#Electricity Systems|acdf5bab-4ca5-1b6b-457d-04fe2fa8a1ba</vt:lpwstr>
  </property>
  <property fmtid="{D5CDD505-2E9C-101B-9397-08002B2CF9AE}" pid="13" name="_dlc_DocIdItemGuid">
    <vt:lpwstr>2f69d0c7-3afa-4e3d-a37a-d6cc978e2461</vt:lpwstr>
  </property>
  <property fmtid="{D5CDD505-2E9C-101B-9397-08002B2CF9AE}" pid="14" name="KIM_GovernmentBody">
    <vt:lpwstr>3;#DESNZ|bb335eaf-f697-16af-0755-aa8d4628e736</vt:lpwstr>
  </property>
  <property fmtid="{D5CDD505-2E9C-101B-9397-08002B2CF9AE}" pid="15" name="KIM_Function">
    <vt:lpwstr>1;#Energy supply and security|ca24af43-cb19-9c06-b7c6-7d5864afb0e5</vt:lpwstr>
  </property>
  <property fmtid="{D5CDD505-2E9C-101B-9397-08002B2CF9AE}" pid="16" name="ClassificationContentMarkingHeaderShapeIds">
    <vt:lpwstr>71304122,311a79d3,49c96b4</vt:lpwstr>
  </property>
  <property fmtid="{D5CDD505-2E9C-101B-9397-08002B2CF9AE}" pid="17" name="ClassificationContentMarkingHeaderFontProps">
    <vt:lpwstr>#000000,10,Aptos</vt:lpwstr>
  </property>
  <property fmtid="{D5CDD505-2E9C-101B-9397-08002B2CF9AE}" pid="18" name="ClassificationContentMarkingHeaderText">
    <vt:lpwstr>OFFICIAL</vt:lpwstr>
  </property>
  <property fmtid="{D5CDD505-2E9C-101B-9397-08002B2CF9AE}" pid="19" name="ClassificationContentMarkingFooterShapeIds">
    <vt:lpwstr>21e6dcea,3957f8d7,5ecd0a1f</vt:lpwstr>
  </property>
  <property fmtid="{D5CDD505-2E9C-101B-9397-08002B2CF9AE}" pid="20" name="ClassificationContentMarkingFooterFontProps">
    <vt:lpwstr>#000000,10,Aptos</vt:lpwstr>
  </property>
  <property fmtid="{D5CDD505-2E9C-101B-9397-08002B2CF9AE}" pid="21" name="ClassificationContentMarkingFooterText">
    <vt:lpwstr>OFFICIAL</vt:lpwstr>
  </property>
</Properties>
</file>